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5.png" ContentType="image/png"/>
  <Override PartName="/word/media/image4.png" ContentType="image/png"/>
  <Override PartName="/word/media/image3.png" ContentType="image/png"/>
  <Override PartName="/word/media/image6.png" ContentType="image/png"/>
  <Override PartName="/word/media/image1.jpeg" ContentType="image/jpeg"/>
  <Override PartName="/word/media/image2.png" ContentType="image/pn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553"/>
        <w:gridCol w:w="718"/>
        <w:gridCol w:w="2271"/>
        <w:gridCol w:w="2271"/>
        <w:gridCol w:w="2271"/>
        <w:gridCol w:w="2271"/>
      </w:tblGrid>
      <w:tr>
        <w:trPr>
          <w:trHeight w:val="100" w:hRule="atLeast"/>
        </w:trPr>
        <w:tc>
          <w:tcPr>
            <w:tcW w:w="1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shd w:val="clear" w:fill="FFFFFF"/>
              <w:spacing w:before="120" w:after="120"/>
              <w:rPr/>
            </w:pPr>
            <w:r>
              <w:rPr/>
              <w:drawing>
                <wp:inline distT="0" distB="0" distL="0" distR="0">
                  <wp:extent cx="848995" cy="955040"/>
                  <wp:effectExtent l="0" t="0" r="0" b="0"/>
                  <wp:docPr id="1" name="Immagine 1"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stemma-della-repubblica-italiana-colori.jpg"/>
                          <pic:cNvPicPr>
                            <a:picLocks noChangeAspect="1" noChangeArrowheads="1"/>
                          </pic:cNvPicPr>
                        </pic:nvPicPr>
                        <pic:blipFill>
                          <a:blip r:embed="rId2"/>
                          <a:stretch>
                            <a:fillRect/>
                          </a:stretch>
                        </pic:blipFill>
                        <pic:spPr bwMode="auto">
                          <a:xfrm>
                            <a:off x="0" y="0"/>
                            <a:ext cx="848995" cy="955040"/>
                          </a:xfrm>
                          <a:prstGeom prst="rect">
                            <a:avLst/>
                          </a:prstGeom>
                        </pic:spPr>
                      </pic:pic>
                    </a:graphicData>
                  </a:graphic>
                </wp:inline>
              </w:drawing>
            </w:r>
          </w:p>
        </w:tc>
        <w:tc>
          <w:tcPr>
            <w:tcW w:w="980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spacing w:before="120" w:after="200"/>
              <w:rPr>
                <w:b/>
                <w:b/>
                <w:bCs/>
                <w:sz w:val="28"/>
                <w:szCs w:val="28"/>
              </w:rPr>
            </w:pPr>
            <w:r>
              <mc:AlternateContent>
                <mc:Choice Requires="wps">
                  <w:drawing>
                    <wp:anchor behindDoc="0" distT="0" distB="0" distL="114300" distR="114300" simplePos="0" locked="0" layoutInCell="1" allowOverlap="1" relativeHeight="2">
                      <wp:simplePos x="0" y="0"/>
                      <wp:positionH relativeFrom="column">
                        <wp:posOffset>4483100</wp:posOffset>
                      </wp:positionH>
                      <wp:positionV relativeFrom="paragraph">
                        <wp:posOffset>40005</wp:posOffset>
                      </wp:positionV>
                      <wp:extent cx="1731645" cy="1069975"/>
                      <wp:effectExtent l="0" t="0" r="0" b="0"/>
                      <wp:wrapNone/>
                      <wp:docPr id="2" name="Cornice1"/>
                      <a:graphic xmlns:a="http://schemas.openxmlformats.org/drawingml/2006/main">
                        <a:graphicData uri="http://schemas.microsoft.com/office/word/2010/wordprocessingShape">
                          <wps:wsp>
                            <wps:cNvSpPr/>
                            <wps:spPr>
                              <a:xfrm>
                                <a:off x="0" y="0"/>
                                <a:ext cx="1730880" cy="1069200"/>
                              </a:xfrm>
                              <a:prstGeom prst="rect">
                                <a:avLst/>
                              </a:prstGeom>
                              <a:noFill/>
                              <a:ln w="720">
                                <a:solidFill>
                                  <a:srgbClr val="000000"/>
                                </a:solidFill>
                                <a:round/>
                              </a:ln>
                            </wps:spPr>
                            <wps:style>
                              <a:lnRef idx="0"/>
                              <a:fillRef idx="0"/>
                              <a:effectRef idx="0"/>
                              <a:fontRef idx="minor"/>
                            </wps:style>
                            <wps:txbx>
                              <w:txbxContent>
                                <w:p>
                                  <w:pPr>
                                    <w:pStyle w:val="Contenutocornice"/>
                                    <w:spacing w:before="0" w:after="200"/>
                                    <w:rPr>
                                      <w:color w:val="000000"/>
                                    </w:rPr>
                                  </w:pPr>
                                  <w:r>
                                    <w:rPr>
                                      <w:color w:val="000000"/>
                                    </w:rPr>
                                    <w:drawing>
                                      <wp:inline distT="0" distB="0" distL="0" distR="0">
                                        <wp:extent cx="1461135" cy="876935"/>
                                        <wp:effectExtent l="0" t="0" r="0" b="0"/>
                                        <wp:docPr id="4" name="Immagine2"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Logo_CS.png"/>
                                                <pic:cNvPicPr>
                                                  <a:picLocks noChangeAspect="1" noChangeArrowheads="1"/>
                                                </pic:cNvPicPr>
                                              </pic:nvPicPr>
                                              <pic:blipFill>
                                                <a:blip r:embed="rId3"/>
                                                <a:stretch>
                                                  <a:fillRect/>
                                                </a:stretch>
                                              </pic:blipFill>
                                              <pic:spPr bwMode="auto">
                                                <a:xfrm>
                                                  <a:off x="0" y="0"/>
                                                  <a:ext cx="1461135" cy="876935"/>
                                                </a:xfrm>
                                                <a:prstGeom prst="rect">
                                                  <a:avLst/>
                                                </a:prstGeom>
                                              </pic:spPr>
                                            </pic:pic>
                                          </a:graphicData>
                                        </a:graphic>
                                      </wp:inline>
                                    </w:drawing>
                                  </w:r>
                                </w:p>
                              </w:txbxContent>
                            </wps:txbx>
                            <wps:bodyPr>
                              <a:noAutofit/>
                            </wps:bodyPr>
                          </wps:wsp>
                        </a:graphicData>
                      </a:graphic>
                    </wp:anchor>
                  </w:drawing>
                </mc:Choice>
                <mc:Fallback>
                  <w:pict>
                    <v:rect id="shape_0" ID="Cornice1" stroked="t" style="position:absolute;margin-left:353pt;margin-top:3.15pt;width:136.25pt;height:84.15pt">
                      <w10:wrap type="none"/>
                      <v:fill o:detectmouseclick="t" on="false"/>
                      <v:stroke color="black" weight="720" joinstyle="round" endcap="flat"/>
                      <v:textbox>
                        <w:txbxContent>
                          <w:p>
                            <w:pPr>
                              <w:pStyle w:val="Contenutocornice"/>
                              <w:spacing w:before="0" w:after="200"/>
                              <w:rPr>
                                <w:color w:val="000000"/>
                              </w:rPr>
                            </w:pPr>
                            <w:r>
                              <w:rPr>
                                <w:color w:val="000000"/>
                              </w:rPr>
                              <w:drawing>
                                <wp:inline distT="0" distB="0" distL="0" distR="0">
                                  <wp:extent cx="1461135" cy="876935"/>
                                  <wp:effectExtent l="0" t="0" r="0" b="0"/>
                                  <wp:docPr id="5" name="Immagine2"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descr="Logo_CS.png"/>
                                          <pic:cNvPicPr>
                                            <a:picLocks noChangeAspect="1" noChangeArrowheads="1"/>
                                          </pic:cNvPicPr>
                                        </pic:nvPicPr>
                                        <pic:blipFill>
                                          <a:blip r:embed="rId3"/>
                                          <a:stretch>
                                            <a:fillRect/>
                                          </a:stretch>
                                        </pic:blipFill>
                                        <pic:spPr bwMode="auto">
                                          <a:xfrm>
                                            <a:off x="0" y="0"/>
                                            <a:ext cx="1461135" cy="876935"/>
                                          </a:xfrm>
                                          <a:prstGeom prst="rect">
                                            <a:avLst/>
                                          </a:prstGeom>
                                        </pic:spPr>
                                      </pic:pic>
                                    </a:graphicData>
                                  </a:graphic>
                                </wp:inline>
                              </w:drawing>
                            </w:r>
                          </w:p>
                        </w:txbxContent>
                      </v:textbox>
                    </v:rect>
                  </w:pict>
                </mc:Fallback>
              </mc:AlternateContent>
            </w:r>
            <w:r>
              <w:rPr>
                <w:b/>
                <w:bCs/>
                <w:sz w:val="28"/>
                <w:szCs w:val="28"/>
              </w:rPr>
              <w:t>Ministero dell’Istruzione e del Merito</w:t>
            </w:r>
          </w:p>
          <w:p>
            <w:pPr>
              <w:pStyle w:val="Default"/>
              <w:rPr>
                <w:sz w:val="24"/>
                <w:szCs w:val="24"/>
              </w:rPr>
            </w:pPr>
            <w:r>
              <w:rPr>
                <w:sz w:val="24"/>
                <w:szCs w:val="24"/>
              </w:rPr>
              <w:t xml:space="preserve">Ufficio Scolastico Regionale per la  </w:t>
            </w:r>
            <w:r>
              <w:rPr>
                <w:i/>
                <w:sz w:val="24"/>
                <w:szCs w:val="24"/>
              </w:rPr>
              <w:t>Lombardia</w:t>
            </w:r>
          </w:p>
          <w:p>
            <w:pPr>
              <w:pStyle w:val="Default"/>
              <w:rPr>
                <w:sz w:val="24"/>
                <w:szCs w:val="24"/>
              </w:rPr>
            </w:pPr>
            <w:r>
              <w:rPr>
                <w:sz w:val="24"/>
                <w:szCs w:val="24"/>
              </w:rPr>
              <w:t>Ambito Territoriale per la provincia di Bergamo</w:t>
            </w:r>
          </w:p>
          <w:p>
            <w:pPr>
              <w:pStyle w:val="Default"/>
              <w:rPr>
                <w:sz w:val="24"/>
                <w:szCs w:val="24"/>
              </w:rPr>
            </w:pPr>
            <w:r>
              <w:rPr>
                <w:sz w:val="24"/>
                <w:szCs w:val="24"/>
              </w:rPr>
              <w:t xml:space="preserve">Coordinamento dei Servizi di Educazione Motoria, </w:t>
            </w:r>
          </w:p>
          <w:p>
            <w:pPr>
              <w:pStyle w:val="Default"/>
              <w:rPr>
                <w:sz w:val="24"/>
                <w:szCs w:val="24"/>
              </w:rPr>
            </w:pPr>
            <w:r>
              <w:rPr>
                <w:sz w:val="24"/>
                <w:szCs w:val="24"/>
              </w:rPr>
              <w:t>Fisica e Sportiva</w:t>
            </w:r>
          </w:p>
        </w:tc>
      </w:tr>
      <w:tr>
        <w:trPr>
          <w:trHeight w:val="1959" w:hRule="atLeast"/>
        </w:trPr>
        <w:tc>
          <w:tcPr>
            <w:tcW w:w="22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jc w:val="center"/>
              <w:rPr/>
            </w:pPr>
            <w:r>
              <w:rPr/>
              <w:drawing>
                <wp:inline distT="0" distB="0" distL="0" distR="0">
                  <wp:extent cx="1255395" cy="953135"/>
                  <wp:effectExtent l="0" t="0" r="0" b="0"/>
                  <wp:docPr id="6"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7" descr="C:\Documents and Settings\Giuseppe\Documenti\Scacchi\Scacchi 2014-2015\Riva del Sole\Immagini\Loghi\Logo-coni-2.png"/>
                          <pic:cNvPicPr>
                            <a:picLocks noChangeAspect="1" noChangeArrowheads="1"/>
                          </pic:cNvPicPr>
                        </pic:nvPicPr>
                        <pic:blipFill>
                          <a:blip r:embed="rId4"/>
                          <a:stretch>
                            <a:fillRect/>
                          </a:stretch>
                        </pic:blipFill>
                        <pic:spPr bwMode="auto">
                          <a:xfrm>
                            <a:off x="0" y="0"/>
                            <a:ext cx="1255395" cy="953135"/>
                          </a:xfrm>
                          <a:prstGeom prst="rect">
                            <a:avLst/>
                          </a:prstGeom>
                        </pic:spPr>
                      </pic:pic>
                    </a:graphicData>
                  </a:graphic>
                </wp:inline>
              </w:drawing>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jc w:val="center"/>
              <w:rPr/>
            </w:pPr>
            <w:r>
              <w:rPr/>
              <w:drawing>
                <wp:inline distT="0" distB="0" distL="0" distR="0">
                  <wp:extent cx="1255395" cy="953135"/>
                  <wp:effectExtent l="0" t="0" r="0" b="0"/>
                  <wp:docPr id="7"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0" descr="C:\Documents and Settings\Giuseppe\Documenti\Scacchi\Scacchi 2014-2015\Riva del Sole\Immagini\Loghi\FSI2.png"/>
                          <pic:cNvPicPr>
                            <a:picLocks noChangeAspect="1" noChangeArrowheads="1"/>
                          </pic:cNvPicPr>
                        </pic:nvPicPr>
                        <pic:blipFill>
                          <a:blip r:embed="rId5"/>
                          <a:stretch>
                            <a:fillRect/>
                          </a:stretch>
                        </pic:blipFill>
                        <pic:spPr bwMode="auto">
                          <a:xfrm>
                            <a:off x="0" y="0"/>
                            <a:ext cx="1255395" cy="953135"/>
                          </a:xfrm>
                          <a:prstGeom prst="rect">
                            <a:avLst/>
                          </a:prstGeom>
                        </pic:spPr>
                      </pic:pic>
                    </a:graphicData>
                  </a:graphic>
                </wp:inline>
              </w:drawing>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jc w:val="center"/>
              <w:rPr>
                <w:rFonts w:ascii="Arial" w:hAnsi="Arial" w:cs="Arial"/>
                <w:bCs/>
                <w:i/>
                <w:i/>
              </w:rPr>
            </w:pPr>
            <w:r>
              <w:rPr>
                <w:rFonts w:cs="Arial" w:ascii="Arial" w:hAnsi="Arial"/>
                <w:bCs/>
                <w:i/>
              </w:rPr>
              <w:drawing>
                <wp:anchor behindDoc="0" distT="0" distB="0" distL="0" distR="0" simplePos="0" locked="0" layoutInCell="1" allowOverlap="1" relativeHeight="3">
                  <wp:simplePos x="0" y="0"/>
                  <wp:positionH relativeFrom="column">
                    <wp:posOffset>34290</wp:posOffset>
                  </wp:positionH>
                  <wp:positionV relativeFrom="paragraph">
                    <wp:posOffset>104775</wp:posOffset>
                  </wp:positionV>
                  <wp:extent cx="1233170" cy="1056640"/>
                  <wp:effectExtent l="0" t="0" r="0" b="0"/>
                  <wp:wrapSquare wrapText="largest"/>
                  <wp:docPr id="8"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3" descr=""/>
                          <pic:cNvPicPr>
                            <a:picLocks noChangeAspect="1" noChangeArrowheads="1"/>
                          </pic:cNvPicPr>
                        </pic:nvPicPr>
                        <pic:blipFill>
                          <a:blip r:embed="rId6"/>
                          <a:stretch>
                            <a:fillRect/>
                          </a:stretch>
                        </pic:blipFill>
                        <pic:spPr bwMode="auto">
                          <a:xfrm>
                            <a:off x="0" y="0"/>
                            <a:ext cx="1233170" cy="1056640"/>
                          </a:xfrm>
                          <a:prstGeom prst="rect">
                            <a:avLst/>
                          </a:prstGeom>
                        </pic:spPr>
                      </pic:pic>
                    </a:graphicData>
                  </a:graphic>
                </wp:anchor>
              </w:drawing>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jc w:val="center"/>
              <w:rPr>
                <w:rFonts w:ascii="Arial" w:hAnsi="Arial" w:cs="Arial"/>
                <w:bCs/>
                <w:i/>
                <w:i/>
              </w:rPr>
            </w:pPr>
            <w:r>
              <w:rPr>
                <w:rFonts w:cs="Arial" w:ascii="Arial" w:hAnsi="Arial"/>
                <w:bCs/>
                <w:i/>
              </w:rPr>
              <w:t>ASD Società Scacchistica Bergamo</w:t>
            </w:r>
          </w:p>
          <w:p>
            <w:pPr>
              <w:pStyle w:val="Default"/>
              <w:jc w:val="center"/>
              <w:rPr>
                <w:rFonts w:ascii="Arial" w:hAnsi="Arial" w:cs="Arial"/>
                <w:bCs/>
                <w:i/>
                <w:i/>
              </w:rPr>
            </w:pPr>
            <w:r>
              <w:rPr>
                <w:rFonts w:cs="Arial" w:ascii="Arial" w:hAnsi="Arial"/>
                <w:bCs/>
                <w:i/>
              </w:rPr>
              <w:t>ASD Excelsior</w:t>
            </w:r>
          </w:p>
          <w:p>
            <w:pPr>
              <w:pStyle w:val="Default"/>
              <w:jc w:val="center"/>
              <w:rPr>
                <w:rFonts w:ascii="Arial" w:hAnsi="Arial" w:cs="Arial"/>
                <w:bCs/>
                <w:i/>
                <w:i/>
              </w:rPr>
            </w:pPr>
            <w:r>
              <w:rPr>
                <w:rFonts w:cs="Arial" w:ascii="Arial" w:hAnsi="Arial"/>
                <w:bCs/>
                <w:i/>
              </w:rPr>
              <w:t>ASD Bassa Bergamasca</w:t>
            </w:r>
          </w:p>
        </w:tc>
        <w:tc>
          <w:tcPr>
            <w:tcW w:w="22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Default"/>
              <w:jc w:val="center"/>
              <w:rPr>
                <w:rFonts w:ascii="Arial" w:hAnsi="Arial" w:cs="Arial"/>
                <w:bCs/>
                <w:i/>
                <w:i/>
              </w:rPr>
            </w:pPr>
            <w:r>
              <w:rPr>
                <w:rFonts w:cs="Arial" w:ascii="Arial" w:hAnsi="Arial"/>
                <w:bCs/>
                <w:i/>
              </w:rPr>
              <w:drawing>
                <wp:anchor behindDoc="0" distT="0" distB="0" distL="0" distR="0" simplePos="0" locked="0" layoutInCell="1" allowOverlap="1" relativeHeight="4">
                  <wp:simplePos x="0" y="0"/>
                  <wp:positionH relativeFrom="column">
                    <wp:posOffset>1442085</wp:posOffset>
                  </wp:positionH>
                  <wp:positionV relativeFrom="paragraph">
                    <wp:posOffset>-483235</wp:posOffset>
                  </wp:positionV>
                  <wp:extent cx="1301750" cy="974725"/>
                  <wp:effectExtent l="0" t="0" r="0" b="0"/>
                  <wp:wrapSquare wrapText="largest"/>
                  <wp:docPr id="9"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4" descr=""/>
                          <pic:cNvPicPr>
                            <a:picLocks noChangeAspect="1" noChangeArrowheads="1"/>
                          </pic:cNvPicPr>
                        </pic:nvPicPr>
                        <pic:blipFill>
                          <a:blip r:embed="rId7"/>
                          <a:stretch>
                            <a:fillRect/>
                          </a:stretch>
                        </pic:blipFill>
                        <pic:spPr bwMode="auto">
                          <a:xfrm>
                            <a:off x="0" y="0"/>
                            <a:ext cx="1301750" cy="974725"/>
                          </a:xfrm>
                          <a:prstGeom prst="rect">
                            <a:avLst/>
                          </a:prstGeom>
                        </pic:spPr>
                      </pic:pic>
                    </a:graphicData>
                  </a:graphic>
                </wp:anchor>
              </w:drawing>
            </w:r>
          </w:p>
        </w:tc>
      </w:tr>
      <w:tr>
        <w:trPr>
          <w:trHeight w:val="496" w:hRule="atLeast"/>
        </w:trPr>
        <w:tc>
          <w:tcPr>
            <w:tcW w:w="1135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spacing w:before="240" w:after="240"/>
              <w:jc w:val="center"/>
              <w:rPr>
                <w:rFonts w:ascii="Arial" w:hAnsi="Arial" w:cs="Arial"/>
                <w:b/>
                <w:b/>
                <w:bCs/>
                <w:color w:val="1F497D"/>
                <w:sz w:val="48"/>
                <w:szCs w:val="48"/>
              </w:rPr>
            </w:pPr>
            <w:r>
              <w:rPr>
                <w:rFonts w:cs="Arial" w:ascii="Arial" w:hAnsi="Arial"/>
                <w:b/>
                <w:bCs/>
                <w:color w:val="1F497D"/>
                <w:sz w:val="48"/>
                <w:szCs w:val="48"/>
              </w:rPr>
              <w:t>Campionati Studenteschi 2022-2023 di scacchi</w:t>
            </w:r>
          </w:p>
          <w:p>
            <w:pPr>
              <w:pStyle w:val="Default"/>
              <w:spacing w:before="240" w:after="240"/>
              <w:jc w:val="center"/>
              <w:rPr/>
            </w:pPr>
            <w:r>
              <w:rPr>
                <w:rFonts w:cs="Arial" w:ascii="Arial" w:hAnsi="Arial"/>
                <w:b/>
                <w:bCs/>
                <w:color w:val="1F497D"/>
                <w:sz w:val="36"/>
                <w:szCs w:val="36"/>
              </w:rPr>
              <w:t>Fase Provinciale Scuole Secondarie di II°grado di Bergamo</w:t>
            </w:r>
          </w:p>
          <w:p>
            <w:pPr>
              <w:pStyle w:val="Default"/>
              <w:spacing w:before="240" w:after="240"/>
              <w:jc w:val="center"/>
              <w:rPr>
                <w:rFonts w:ascii="Arial" w:hAnsi="Arial" w:cs="Arial"/>
                <w:b/>
                <w:b/>
                <w:bCs/>
                <w:color w:val="1F497D"/>
                <w:sz w:val="36"/>
                <w:szCs w:val="36"/>
              </w:rPr>
            </w:pPr>
            <w:r>
              <w:rPr>
                <w:rFonts w:cs="Arial" w:ascii="Arial" w:hAnsi="Arial"/>
                <w:b/>
                <w:bCs/>
                <w:color w:val="1F497D"/>
                <w:sz w:val="36"/>
                <w:szCs w:val="36"/>
              </w:rPr>
            </w:r>
          </w:p>
          <w:p>
            <w:pPr>
              <w:pStyle w:val="Default"/>
              <w:spacing w:before="120" w:after="120"/>
              <w:jc w:val="center"/>
              <w:rPr/>
            </w:pPr>
            <w:r>
              <w:rPr>
                <w:rFonts w:cs="Arial" w:ascii="Arial" w:hAnsi="Arial"/>
                <w:b/>
                <w:bCs/>
                <w:i/>
                <w:color w:val="auto"/>
                <w:sz w:val="32"/>
                <w:szCs w:val="32"/>
              </w:rPr>
              <w:t>Bergamo, 0</w:t>
            </w:r>
            <w:r>
              <w:rPr>
                <w:rFonts w:cs="Arial" w:ascii="Arial" w:hAnsi="Arial"/>
                <w:b/>
                <w:bCs/>
                <w:i/>
                <w:color w:val="auto"/>
                <w:sz w:val="32"/>
                <w:szCs w:val="32"/>
              </w:rPr>
              <w:t>7</w:t>
            </w:r>
            <w:r>
              <w:rPr>
                <w:rFonts w:cs="Arial" w:ascii="Arial" w:hAnsi="Arial"/>
                <w:b/>
                <w:bCs/>
                <w:i/>
                <w:color w:val="auto"/>
                <w:sz w:val="32"/>
                <w:szCs w:val="32"/>
              </w:rPr>
              <w:t xml:space="preserve"> marzo 2023 Scuole Secondarie II° grado</w:t>
            </w:r>
          </w:p>
          <w:p>
            <w:pPr>
              <w:pStyle w:val="Default"/>
              <w:spacing w:before="120" w:after="120"/>
              <w:jc w:val="center"/>
              <w:rPr>
                <w:rFonts w:ascii="Arial" w:hAnsi="Arial" w:cs="Arial"/>
                <w:b/>
                <w:b/>
                <w:bCs/>
                <w:i/>
                <w:i/>
                <w:color w:val="auto"/>
                <w:sz w:val="32"/>
                <w:szCs w:val="32"/>
              </w:rPr>
            </w:pPr>
            <w:r>
              <w:rPr>
                <w:rFonts w:cs="Arial" w:ascii="Arial" w:hAnsi="Arial"/>
                <w:b/>
                <w:bCs/>
                <w:i/>
                <w:color w:val="auto"/>
                <w:sz w:val="32"/>
                <w:szCs w:val="32"/>
              </w:rPr>
            </w:r>
          </w:p>
          <w:p>
            <w:pPr>
              <w:pStyle w:val="Normal"/>
              <w:spacing w:before="120" w:after="120"/>
              <w:jc w:val="center"/>
              <w:rPr/>
            </w:pPr>
            <w:r>
              <w:rPr>
                <w:rFonts w:cs="Arial" w:ascii="Arial" w:hAnsi="Arial"/>
                <w:b/>
                <w:bCs/>
                <w:sz w:val="32"/>
                <w:szCs w:val="32"/>
              </w:rPr>
              <w:t xml:space="preserve">Sede di gioco: </w:t>
            </w:r>
            <w:r>
              <w:rPr>
                <w:rFonts w:cs="Arial" w:ascii="Arial" w:hAnsi="Arial"/>
                <w:b/>
                <w:bCs/>
                <w:i/>
                <w:sz w:val="32"/>
                <w:szCs w:val="32"/>
              </w:rPr>
              <w:t>ITIS  Paleocapa – Museo TIME</w:t>
            </w:r>
          </w:p>
          <w:p>
            <w:pPr>
              <w:pStyle w:val="Normal"/>
              <w:spacing w:before="120" w:after="120"/>
              <w:jc w:val="center"/>
              <w:rPr>
                <w:rFonts w:ascii="Arial" w:hAnsi="Arial" w:cs="Arial"/>
                <w:b/>
                <w:b/>
                <w:bCs/>
                <w:i/>
                <w:i/>
                <w:sz w:val="32"/>
                <w:szCs w:val="32"/>
              </w:rPr>
            </w:pPr>
            <w:r>
              <w:rPr>
                <w:rFonts w:cs="Arial" w:ascii="Arial" w:hAnsi="Arial"/>
                <w:b/>
                <w:bCs/>
                <w:i/>
                <w:sz w:val="32"/>
                <w:szCs w:val="32"/>
              </w:rPr>
              <w:t>Via M. Gavazzeni, n. 29</w:t>
            </w:r>
          </w:p>
          <w:p>
            <w:pPr>
              <w:pStyle w:val="Default"/>
              <w:spacing w:before="120" w:after="120"/>
              <w:jc w:val="center"/>
              <w:rPr/>
            </w:pPr>
            <w:r>
              <w:rPr>
                <w:rFonts w:cs="Arial" w:ascii="Arial" w:hAnsi="Arial"/>
                <w:bCs/>
                <w:color w:val="4F6228"/>
                <w:sz w:val="32"/>
                <w:szCs w:val="32"/>
              </w:rPr>
              <w:t>Scadenza iscrizioni:  Sabato 25/02/2023  h. 14.00</w:t>
            </w:r>
          </w:p>
        </w:tc>
      </w:tr>
    </w:tbl>
    <w:p>
      <w:pPr>
        <w:pStyle w:val="Default"/>
        <w:rPr/>
      </w:pPr>
      <w:r>
        <w:rPr/>
      </w:r>
    </w:p>
    <w:p>
      <w:pPr>
        <w:pStyle w:val="Normal"/>
        <w:spacing w:lineRule="auto" w:line="240" w:before="0" w:after="0"/>
        <w:rPr>
          <w:rFonts w:ascii="Arial" w:hAnsi="Arial" w:cs="Arial"/>
          <w:sz w:val="22"/>
          <w:lang w:eastAsia="it-IT"/>
        </w:rPr>
      </w:pPr>
      <w:r>
        <w:rPr>
          <w:rFonts w:cs="Arial" w:ascii="Arial" w:hAnsi="Arial"/>
          <w:sz w:val="22"/>
          <w:lang w:eastAsia="it-IT"/>
        </w:rPr>
        <w:t xml:space="preserve">Con il presente bando si informa e, per quanto non espressamente previsto, si rinvia alle disposizioni emanate dal Ministero dell’Istruzione e del Merito - Direzione Generale per lo studente, l’inclusione e l’orientamento scolastico - Ufficio V, con nota prot. n. 3351 del 17 ottobre 2022 e col suo allegato Progetto Tecnico CS, così come recepite nel Regolamento dei Campionati Studenteschi - Trofeo Scacchi Scuola della Federazione Scacchistica Italiana e nel suo Regolamento attuativo 2022-2023. </w:t>
      </w:r>
    </w:p>
    <w:p>
      <w:pPr>
        <w:pStyle w:val="Normal"/>
        <w:spacing w:lineRule="auto" w:line="240" w:before="0" w:after="0"/>
        <w:rPr/>
      </w:pPr>
      <w:r>
        <w:rPr>
          <w:rFonts w:cs="Arial" w:ascii="Arial" w:hAnsi="Arial"/>
          <w:sz w:val="22"/>
          <w:lang w:eastAsia="it-IT"/>
        </w:rPr>
        <w:t>La normativa regolamentare è visionabile agli indirizzi internet:</w:t>
      </w:r>
      <w:r>
        <w:rPr>
          <w:sz w:val="22"/>
        </w:rPr>
        <w:t xml:space="preserve"> </w:t>
      </w:r>
      <w:hyperlink r:id="rId8">
        <w:r>
          <w:rPr>
            <w:rStyle w:val="CollegamentoInternet"/>
            <w:rFonts w:cs="Arial" w:ascii="Arial" w:hAnsi="Arial"/>
            <w:sz w:val="22"/>
          </w:rPr>
          <w:t>www.federscacchiscuola.it</w:t>
        </w:r>
      </w:hyperlink>
      <w:r>
        <w:rPr>
          <w:rFonts w:cs="Arial" w:ascii="Arial" w:hAnsi="Arial"/>
          <w:sz w:val="22"/>
        </w:rPr>
        <w:t xml:space="preserve"> e </w:t>
      </w:r>
      <w:hyperlink r:id="rId9">
        <w:r>
          <w:rPr>
            <w:rStyle w:val="CollegamentoInternet"/>
            <w:rFonts w:cs="Arial" w:ascii="Arial" w:hAnsi="Arial"/>
            <w:sz w:val="22"/>
          </w:rPr>
          <w:t>www.campionatistudenteschi.it</w:t>
        </w:r>
      </w:hyperlink>
      <w:r>
        <w:rPr>
          <w:rFonts w:cs="Arial" w:ascii="Arial" w:hAnsi="Arial"/>
          <w:sz w:val="22"/>
        </w:rPr>
        <w:t>.</w:t>
      </w:r>
    </w:p>
    <w:p>
      <w:pPr>
        <w:pStyle w:val="Default"/>
        <w:spacing w:before="240" w:after="120"/>
        <w:jc w:val="both"/>
        <w:rPr>
          <w:rFonts w:ascii="Arial" w:hAnsi="Arial" w:cs="Arial"/>
          <w:b/>
          <w:b/>
          <w:bCs/>
          <w:sz w:val="22"/>
          <w:szCs w:val="22"/>
        </w:rPr>
      </w:pPr>
      <w:r>
        <w:rPr>
          <w:rFonts w:cs="Arial" w:ascii="Arial" w:hAnsi="Arial"/>
          <w:b/>
          <w:bCs/>
          <w:sz w:val="22"/>
          <w:szCs w:val="22"/>
        </w:rPr>
        <w:t xml:space="preserve">GENERALITÀ </w:t>
      </w:r>
    </w:p>
    <w:p>
      <w:pPr>
        <w:pStyle w:val="Normal"/>
        <w:spacing w:lineRule="auto" w:line="240" w:before="0" w:after="0"/>
        <w:rPr>
          <w:rFonts w:ascii="Arial" w:hAnsi="Arial" w:cs="Arial"/>
          <w:sz w:val="22"/>
          <w:lang w:eastAsia="it-IT"/>
        </w:rPr>
      </w:pPr>
      <w:r>
        <w:rPr>
          <w:rFonts w:cs="Arial" w:ascii="Arial" w:hAnsi="Arial"/>
          <w:sz w:val="22"/>
          <w:lang w:eastAsia="it-IT"/>
        </w:rPr>
        <w:t>I Campionati Studenteschi di scacchi sono riservati agli studenti delle scuole secondarie di 1° e 2° grado, statali e paritarie, regolarmente iscritti e frequentanti. La partecipazione delle Istituzioni Scolastiche è per rappresentativa d'Istituto e deve essere deliberata dai competenti Organi Collegiali scolastici.</w:t>
      </w:r>
    </w:p>
    <w:p>
      <w:pPr>
        <w:pStyle w:val="Normal"/>
        <w:spacing w:lineRule="auto" w:line="240" w:before="0" w:after="0"/>
        <w:rPr>
          <w:rFonts w:ascii="Arial" w:hAnsi="Arial" w:cs="Arial"/>
          <w:sz w:val="22"/>
          <w:lang w:eastAsia="it-IT"/>
        </w:rPr>
      </w:pPr>
      <w:r>
        <w:rPr>
          <w:rFonts w:cs="Arial" w:ascii="Arial" w:hAnsi="Arial"/>
          <w:sz w:val="22"/>
          <w:lang w:eastAsia="it-IT"/>
        </w:rPr>
        <w:t>Per Istituzioni Scolastiche si intendono gli Istituti Scolastici e/o le Scuole coordinate e aggregate da un'unica Direzione formanti un unico Istituto Comprensivo.</w:t>
      </w:r>
    </w:p>
    <w:p>
      <w:pPr>
        <w:pStyle w:val="Normal"/>
        <w:spacing w:lineRule="auto" w:line="240" w:before="0" w:after="0"/>
        <w:rPr>
          <w:rFonts w:ascii="Arial" w:hAnsi="Arial" w:cs="Arial"/>
          <w:sz w:val="22"/>
          <w:lang w:eastAsia="it-IT"/>
        </w:rPr>
      </w:pPr>
      <w:r>
        <w:rPr>
          <w:rFonts w:cs="Arial" w:ascii="Arial" w:hAnsi="Arial"/>
          <w:sz w:val="22"/>
          <w:lang w:eastAsia="it-IT"/>
        </w:rPr>
        <w:t>Nei Campionati Studenteschi ogni Istituzione Scolastica è rappresentata da una o più squadre, formate da 4 studenti e 2 eventuali riserve.</w:t>
      </w:r>
    </w:p>
    <w:p>
      <w:pPr>
        <w:pStyle w:val="Normal"/>
        <w:spacing w:lineRule="auto" w:line="240" w:before="0" w:after="0"/>
        <w:rPr>
          <w:rFonts w:ascii="Arial" w:hAnsi="Arial" w:cs="Arial"/>
          <w:sz w:val="22"/>
          <w:lang w:eastAsia="it-IT"/>
        </w:rPr>
      </w:pPr>
      <w:r>
        <w:rPr>
          <w:rFonts w:cs="Arial" w:ascii="Arial" w:hAnsi="Arial"/>
          <w:sz w:val="22"/>
          <w:lang w:eastAsia="it-IT"/>
        </w:rPr>
        <w:t>Le squadre partecipano a tornei "maschile/misto" e "femminile" separati (è sufficiente la partecipazione di 2 squadre) oppure ad un torneo che accorpa due o più categorie, che siano le più vicine in termini di fascia d'età, con classifiche distinte per le seguenti categorie:</w:t>
      </w:r>
    </w:p>
    <w:p>
      <w:pPr>
        <w:pStyle w:val="Normal"/>
        <w:spacing w:lineRule="auto" w:line="240" w:before="0" w:after="0"/>
        <w:rPr>
          <w:rFonts w:ascii="Arial" w:hAnsi="Arial" w:cs="Arial"/>
          <w:sz w:val="22"/>
          <w:lang w:eastAsia="it-IT"/>
        </w:rPr>
      </w:pPr>
      <w:r>
        <w:rPr>
          <w:rFonts w:cs="Arial" w:ascii="Arial" w:hAnsi="Arial"/>
          <w:sz w:val="22"/>
          <w:lang w:eastAsia="it-IT"/>
        </w:rPr>
        <w:t>- Scuole Secondarie di 1° Grado: Categoria unica – nati/e negli anni 2009 – 2010 – 2011 (2012 nei casi di alunni/e in anticipo scolastico e anche 2008 nel caso di alunni con disabilità)..</w:t>
      </w:r>
    </w:p>
    <w:p>
      <w:pPr>
        <w:pStyle w:val="Normal"/>
        <w:spacing w:lineRule="auto" w:line="240" w:before="0" w:after="0"/>
        <w:rPr>
          <w:rFonts w:ascii="Arial" w:hAnsi="Arial" w:cs="Arial"/>
          <w:sz w:val="22"/>
          <w:lang w:eastAsia="it-IT"/>
        </w:rPr>
      </w:pPr>
      <w:r>
        <w:rPr>
          <w:rFonts w:cs="Arial" w:ascii="Arial" w:hAnsi="Arial"/>
          <w:sz w:val="22"/>
          <w:lang w:eastAsia="it-IT"/>
        </w:rPr>
        <w:t>- Scuole Secondarie di 2° Grado: Categoria Allievi – nati/e negli anni 2006 – 2007 – 2008 (2009 nei casi di studenti/esse in anticipo scolastico).</w:t>
      </w:r>
    </w:p>
    <w:p>
      <w:pPr>
        <w:pStyle w:val="Normal"/>
        <w:spacing w:lineRule="auto" w:line="240" w:before="0" w:after="0"/>
        <w:rPr>
          <w:rFonts w:ascii="Arial" w:hAnsi="Arial" w:cs="Arial"/>
          <w:sz w:val="22"/>
          <w:lang w:eastAsia="it-IT"/>
        </w:rPr>
      </w:pPr>
      <w:r>
        <w:rPr>
          <w:rFonts w:cs="Arial" w:ascii="Arial" w:hAnsi="Arial"/>
          <w:sz w:val="22"/>
          <w:lang w:eastAsia="it-IT"/>
        </w:rPr>
        <w:t>- Scuole Secondarie di 2° Grado: Categoria Juniores – nati/e negli anni 2004 – 2005 (anche 2003 nel caso di alunni con disabilità).</w:t>
      </w:r>
    </w:p>
    <w:p>
      <w:pPr>
        <w:pStyle w:val="Normal"/>
        <w:spacing w:lineRule="auto" w:line="240" w:before="0" w:after="0"/>
        <w:rPr>
          <w:rFonts w:ascii="Arial" w:hAnsi="Arial" w:cs="Arial"/>
          <w:sz w:val="22"/>
          <w:lang w:eastAsia="it-IT"/>
        </w:rPr>
      </w:pPr>
      <w:r>
        <w:rPr>
          <w:rFonts w:cs="Arial" w:ascii="Arial" w:hAnsi="Arial"/>
          <w:sz w:val="22"/>
          <w:lang w:eastAsia="it-IT"/>
        </w:rPr>
        <w:t>La partecipazione degli alunni/e in ritardo scolastico viene deliberata dai competenti Organismi territoriali.</w:t>
      </w:r>
    </w:p>
    <w:p>
      <w:pPr>
        <w:pStyle w:val="Normal"/>
        <w:spacing w:lineRule="auto" w:line="240" w:before="0" w:after="0"/>
        <w:rPr/>
      </w:pPr>
      <w:r>
        <w:rPr>
          <w:rFonts w:cs="Arial" w:ascii="Arial" w:hAnsi="Arial"/>
          <w:sz w:val="22"/>
          <w:lang w:eastAsia="it-IT"/>
        </w:rPr>
        <w:t xml:space="preserve">Ogni Istituzione Scolastica potrà iscrivere un numero di squadre pari a </w:t>
      </w:r>
      <w:r>
        <w:rPr>
          <w:rFonts w:cs="Arial" w:ascii="Arial" w:hAnsi="Arial"/>
          <w:b/>
          <w:i/>
          <w:sz w:val="22"/>
          <w:lang w:eastAsia="it-IT"/>
        </w:rPr>
        <w:t xml:space="preserve">due maschile/mista ed una femminile </w:t>
      </w:r>
      <w:r>
        <w:rPr>
          <w:rFonts w:cs="Arial" w:ascii="Arial" w:hAnsi="Arial"/>
          <w:sz w:val="22"/>
          <w:lang w:eastAsia="it-IT"/>
        </w:rPr>
        <w:t>per ciascuno dei tornei maschile/misto e femminile.</w:t>
      </w:r>
    </w:p>
    <w:p>
      <w:pPr>
        <w:pStyle w:val="Normal"/>
        <w:spacing w:lineRule="auto" w:line="240" w:before="0" w:after="0"/>
        <w:rPr>
          <w:rFonts w:ascii="Arial" w:hAnsi="Arial" w:cs="Arial"/>
          <w:sz w:val="22"/>
          <w:lang w:eastAsia="it-IT"/>
        </w:rPr>
      </w:pPr>
      <w:r>
        <w:rPr>
          <w:rFonts w:cs="Arial" w:ascii="Arial" w:hAnsi="Arial"/>
          <w:sz w:val="22"/>
          <w:lang w:eastAsia="it-IT"/>
        </w:rPr>
        <w:t>Alla successiva Fase Regionale qualsiasi Istituzione Scolastica può qualificare solamente una squadra per ciascun torneo (maschile/misto, femminile).</w:t>
      </w:r>
    </w:p>
    <w:p>
      <w:pPr>
        <w:pStyle w:val="Normal"/>
        <w:spacing w:lineRule="auto" w:line="240" w:before="0" w:after="0"/>
        <w:rPr>
          <w:rFonts w:ascii="Arial" w:hAnsi="Arial" w:cs="Arial"/>
          <w:sz w:val="22"/>
          <w:lang w:eastAsia="it-IT"/>
        </w:rPr>
      </w:pPr>
      <w:r>
        <w:rPr>
          <w:rFonts w:cs="Arial" w:ascii="Arial" w:hAnsi="Arial"/>
          <w:sz w:val="22"/>
          <w:lang w:eastAsia="it-IT"/>
        </w:rPr>
        <w:t>Si qualificano dalla Fase Provinciale a quella Regionale il 50 %, con arrotondamento per eccesso, sul numero delle Istituzioni Scolastiche partecipanti per ciascuna categoria.</w:t>
      </w:r>
    </w:p>
    <w:p>
      <w:pPr>
        <w:pStyle w:val="Default"/>
        <w:spacing w:before="240" w:after="120"/>
        <w:jc w:val="both"/>
        <w:rPr>
          <w:rFonts w:ascii="Arial" w:hAnsi="Arial" w:cs="Arial"/>
          <w:b/>
          <w:b/>
          <w:bCs/>
          <w:sz w:val="22"/>
          <w:szCs w:val="22"/>
        </w:rPr>
      </w:pPr>
      <w:r>
        <w:rPr>
          <w:rFonts w:cs="Arial" w:ascii="Arial" w:hAnsi="Arial"/>
          <w:b/>
          <w:bCs/>
          <w:sz w:val="22"/>
          <w:szCs w:val="22"/>
        </w:rPr>
        <w:t>ACCOMPAGNATORE E CAPITANO</w:t>
      </w:r>
    </w:p>
    <w:p>
      <w:pPr>
        <w:pStyle w:val="Normal"/>
        <w:spacing w:lineRule="auto" w:line="240" w:before="0" w:after="0"/>
        <w:rPr/>
      </w:pPr>
      <w:r>
        <w:rPr>
          <w:rFonts w:cs="Arial" w:ascii="Arial" w:hAnsi="Arial"/>
          <w:sz w:val="22"/>
          <w:lang w:eastAsia="it-IT"/>
        </w:rPr>
        <w:t>È prevista obbligatoriamente la figura dell'Accompagnatore della squadra che potrà essere un docente appositamente</w:t>
      </w:r>
      <w:r>
        <w:rPr>
          <w:sz w:val="22"/>
        </w:rPr>
        <w:t xml:space="preserve"> </w:t>
      </w:r>
      <w:r>
        <w:rPr>
          <w:rFonts w:cs="Arial" w:ascii="Arial" w:hAnsi="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pPr>
        <w:pStyle w:val="Normal"/>
        <w:spacing w:lineRule="auto" w:line="240" w:before="0" w:after="0"/>
        <w:rPr>
          <w:rFonts w:ascii="Arial" w:hAnsi="Arial" w:cs="Arial"/>
          <w:sz w:val="22"/>
          <w:lang w:eastAsia="it-IT"/>
        </w:rPr>
      </w:pPr>
      <w:r>
        <w:rPr>
          <w:rFonts w:cs="Arial" w:ascii="Arial" w:hAnsi="Arial"/>
          <w:sz w:val="22"/>
          <w:lang w:eastAsia="it-IT"/>
        </w:rPr>
        <w:t>La funzione di Capitano può essere svolta, in alternativa all'Accompagnatore, da un Istruttore federale regolarmente tesserato come tale per l’anno in corso oppure da uno studente giocatore con almeno 16 anni di età.</w:t>
      </w:r>
    </w:p>
    <w:p>
      <w:pPr>
        <w:pStyle w:val="Normal"/>
        <w:spacing w:lineRule="auto" w:line="240" w:before="0" w:after="0"/>
        <w:rPr>
          <w:rFonts w:ascii="Arial" w:hAnsi="Arial" w:cs="Arial"/>
          <w:sz w:val="22"/>
          <w:lang w:eastAsia="it-IT"/>
        </w:rPr>
      </w:pPr>
      <w:r>
        <w:rPr>
          <w:rFonts w:cs="Arial" w:ascii="Arial" w:hAnsi="Arial"/>
          <w:sz w:val="22"/>
          <w:lang w:eastAsia="it-IT"/>
        </w:rPr>
        <w:t>Una stessa persona non può svolgere la funzione di Capitano per più di una squadra, all’interno dello stesso torneo della stessa categoria.</w:t>
      </w:r>
    </w:p>
    <w:p>
      <w:pPr>
        <w:pStyle w:val="Default"/>
        <w:spacing w:before="240" w:after="120"/>
        <w:jc w:val="both"/>
        <w:rPr>
          <w:rFonts w:ascii="Arial" w:hAnsi="Arial" w:cs="Arial"/>
          <w:b/>
          <w:b/>
          <w:bCs/>
          <w:sz w:val="22"/>
          <w:szCs w:val="22"/>
        </w:rPr>
      </w:pPr>
      <w:r>
        <w:rPr>
          <w:rFonts w:cs="Arial" w:ascii="Arial" w:hAnsi="Arial"/>
          <w:b/>
          <w:bCs/>
          <w:sz w:val="22"/>
          <w:szCs w:val="22"/>
        </w:rPr>
        <w:t>SQUADRE</w:t>
      </w:r>
    </w:p>
    <w:p>
      <w:pPr>
        <w:pStyle w:val="Default"/>
        <w:jc w:val="both"/>
        <w:rPr>
          <w:rFonts w:ascii="Arial" w:hAnsi="Arial" w:cs="Arial"/>
          <w:sz w:val="22"/>
          <w:szCs w:val="22"/>
        </w:rPr>
      </w:pPr>
      <w:r>
        <w:rPr>
          <w:rFonts w:cs="Arial" w:ascii="Arial" w:hAnsi="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pPr>
        <w:pStyle w:val="Default"/>
        <w:jc w:val="both"/>
        <w:rPr>
          <w:rFonts w:ascii="Arial" w:hAnsi="Arial" w:cs="Arial"/>
          <w:sz w:val="22"/>
          <w:szCs w:val="22"/>
        </w:rPr>
      </w:pPr>
      <w:r>
        <w:rPr>
          <w:rFonts w:cs="Arial" w:ascii="Arial" w:hAnsi="Arial"/>
          <w:sz w:val="22"/>
          <w:szCs w:val="22"/>
        </w:rPr>
        <w:t>Ogni squadra deve essere iscritta e accreditata con almeno 4 giocatori.</w:t>
      </w:r>
    </w:p>
    <w:p>
      <w:pPr>
        <w:pStyle w:val="Default"/>
        <w:jc w:val="both"/>
        <w:rPr>
          <w:rFonts w:ascii="Arial" w:hAnsi="Arial" w:cs="Arial"/>
          <w:sz w:val="22"/>
          <w:szCs w:val="22"/>
        </w:rPr>
      </w:pPr>
      <w:r>
        <w:rPr>
          <w:rFonts w:cs="Arial" w:ascii="Arial" w:hAnsi="Arial"/>
          <w:sz w:val="22"/>
          <w:szCs w:val="22"/>
        </w:rPr>
        <w:t xml:space="preserve">Prima dell'avvio del torneo, all'atto dell'accreditamento della squadra, ogni accompagnatore designato dovrà confermare agli organizzatori la presenza dei singoli giocatori che compongono la squadra. </w:t>
      </w:r>
    </w:p>
    <w:p>
      <w:pPr>
        <w:pStyle w:val="Normal"/>
        <w:spacing w:lineRule="auto" w:line="240" w:before="0" w:after="0"/>
        <w:rPr>
          <w:rFonts w:ascii="Arial" w:hAnsi="Arial" w:cs="Arial"/>
          <w:sz w:val="22"/>
          <w:lang w:eastAsia="it-IT"/>
        </w:rPr>
      </w:pPr>
      <w:r>
        <w:rPr>
          <w:rFonts w:cs="Arial" w:ascii="Arial" w:hAnsi="Arial"/>
          <w:sz w:val="22"/>
          <w:lang w:eastAsia="it-IT"/>
        </w:rPr>
        <w:t>L'ordine di scacchiera deve essere mantenuto per tutta la durata del torneo.</w:t>
      </w:r>
    </w:p>
    <w:p>
      <w:pPr>
        <w:pStyle w:val="Default"/>
        <w:spacing w:before="240" w:after="120"/>
        <w:jc w:val="both"/>
        <w:rPr>
          <w:rFonts w:ascii="Arial" w:hAnsi="Arial" w:cs="Arial"/>
          <w:b/>
          <w:b/>
          <w:bCs/>
          <w:sz w:val="22"/>
          <w:szCs w:val="22"/>
        </w:rPr>
      </w:pPr>
      <w:r>
        <w:rPr>
          <w:rFonts w:cs="Arial" w:ascii="Arial" w:hAnsi="Arial"/>
          <w:b/>
          <w:bCs/>
          <w:sz w:val="22"/>
          <w:szCs w:val="22"/>
        </w:rPr>
        <w:t>AREA DI GIOCO</w:t>
      </w:r>
    </w:p>
    <w:p>
      <w:pPr>
        <w:pStyle w:val="Normal"/>
        <w:spacing w:lineRule="auto" w:line="240" w:before="0" w:after="0"/>
        <w:rPr>
          <w:rFonts w:ascii="Arial" w:hAnsi="Arial" w:cs="Arial"/>
          <w:sz w:val="22"/>
          <w:lang w:eastAsia="it-IT"/>
        </w:rPr>
      </w:pPr>
      <w:r>
        <w:rPr>
          <w:rFonts w:cs="Arial" w:ascii="Arial" w:hAnsi="Arial"/>
          <w:sz w:val="22"/>
          <w:lang w:eastAsia="it-IT"/>
        </w:rPr>
        <w:t>All'area di gioco possono accedere soltanto i giocatori schierati per il turno di gioco, i Capitani, gli Arbitri, il Direttore Nazionale, i Responsabili FSI ed il personale di supporto fornito dall’organizzazione.</w:t>
      </w:r>
    </w:p>
    <w:p>
      <w:pPr>
        <w:pStyle w:val="Normal"/>
        <w:spacing w:lineRule="auto" w:line="240" w:before="0" w:after="0"/>
        <w:rPr>
          <w:rFonts w:ascii="Arial" w:hAnsi="Arial" w:cs="Arial"/>
          <w:sz w:val="22"/>
          <w:lang w:eastAsia="it-IT"/>
        </w:rPr>
      </w:pPr>
      <w:r>
        <w:rPr>
          <w:rFonts w:cs="Arial" w:ascii="Arial" w:hAnsi="Arial"/>
          <w:sz w:val="22"/>
          <w:lang w:eastAsia="it-IT"/>
        </w:rPr>
        <w:t>Gli Accompagnatori che non hanno la funzione di Capitano potranno disporsi ai margini dell’area di gioco, in uno spazio apposito indicato dall’organizzazione.</w:t>
      </w:r>
    </w:p>
    <w:p>
      <w:pPr>
        <w:pStyle w:val="Normal"/>
        <w:spacing w:lineRule="auto" w:line="240" w:before="0" w:after="0"/>
        <w:rPr>
          <w:rFonts w:ascii="Arial" w:hAnsi="Arial" w:cs="Arial"/>
          <w:sz w:val="22"/>
          <w:lang w:eastAsia="it-IT"/>
        </w:rPr>
      </w:pPr>
      <w:r>
        <w:rPr>
          <w:rFonts w:cs="Arial" w:ascii="Arial" w:hAnsi="Arial"/>
          <w:sz w:val="22"/>
          <w:lang w:eastAsia="it-IT"/>
        </w:rPr>
        <w:t>Al termine della propria partita, ogni giocatore deve allontanarsi dall'area di gioco.</w:t>
      </w:r>
    </w:p>
    <w:p>
      <w:pPr>
        <w:pStyle w:val="Default"/>
        <w:spacing w:before="240" w:after="120"/>
        <w:jc w:val="both"/>
        <w:rPr>
          <w:rFonts w:ascii="Arial" w:hAnsi="Arial" w:cs="Arial"/>
          <w:b/>
          <w:b/>
          <w:bCs/>
          <w:sz w:val="22"/>
          <w:szCs w:val="22"/>
        </w:rPr>
      </w:pPr>
      <w:r>
        <w:rPr>
          <w:rFonts w:cs="Arial" w:ascii="Arial" w:hAnsi="Arial"/>
          <w:b/>
          <w:bCs/>
          <w:sz w:val="22"/>
          <w:szCs w:val="22"/>
        </w:rPr>
        <w:t>DISPOSIZIONI TECNICHE</w:t>
      </w:r>
    </w:p>
    <w:p>
      <w:pPr>
        <w:pStyle w:val="Normal"/>
        <w:spacing w:lineRule="auto" w:line="240" w:before="0" w:after="0"/>
        <w:jc w:val="left"/>
        <w:rPr/>
      </w:pPr>
      <w:r>
        <w:rPr>
          <w:rFonts w:cs="Arial" w:ascii="Arial" w:hAnsi="Arial"/>
          <w:sz w:val="22"/>
          <w:lang w:eastAsia="it-IT"/>
        </w:rPr>
        <w:t xml:space="preserve">Il tempo di riflessione sarà di </w:t>
      </w:r>
      <w:r>
        <w:rPr>
          <w:rFonts w:cs="Arial" w:ascii="Arial" w:hAnsi="Arial"/>
          <w:b/>
          <w:i/>
          <w:sz w:val="21"/>
          <w:szCs w:val="21"/>
          <w:lang w:eastAsia="it-IT"/>
        </w:rPr>
        <w:t>25 minuti</w:t>
      </w:r>
      <w:r>
        <w:rPr>
          <w:rFonts w:cs="Arial" w:ascii="Arial" w:hAnsi="Arial"/>
          <w:sz w:val="22"/>
          <w:lang w:eastAsia="it-IT"/>
        </w:rPr>
        <w:t>; il numero dei turni sarà non inferiore a 5.</w:t>
      </w:r>
    </w:p>
    <w:p>
      <w:pPr>
        <w:pStyle w:val="Normal"/>
        <w:spacing w:lineRule="auto" w:line="240" w:before="0" w:after="0"/>
        <w:rPr>
          <w:rFonts w:ascii="Arial" w:hAnsi="Arial" w:cs="Arial"/>
          <w:sz w:val="22"/>
          <w:lang w:eastAsia="it-IT"/>
        </w:rPr>
      </w:pPr>
      <w:r>
        <w:rPr>
          <w:rFonts w:cs="Arial" w:ascii="Arial" w:hAnsi="Arial"/>
          <w:sz w:val="22"/>
          <w:lang w:eastAsia="it-IT"/>
        </w:rPr>
        <w:t>Le classifiche finali saranno redatte prevedendo graduatorie, maschili/miste e femminili, distinte.</w:t>
      </w:r>
    </w:p>
    <w:p>
      <w:pPr>
        <w:pStyle w:val="Default"/>
        <w:spacing w:before="240" w:after="120"/>
        <w:jc w:val="both"/>
        <w:rPr>
          <w:rFonts w:ascii="Arial" w:hAnsi="Arial" w:cs="Arial"/>
          <w:b/>
          <w:b/>
          <w:bCs/>
          <w:sz w:val="22"/>
          <w:szCs w:val="22"/>
        </w:rPr>
      </w:pPr>
      <w:r>
        <w:rPr>
          <w:rFonts w:cs="Arial" w:ascii="Arial" w:hAnsi="Arial"/>
          <w:b/>
          <w:bCs/>
          <w:sz w:val="22"/>
          <w:szCs w:val="22"/>
        </w:rPr>
        <w:t>DOCUMENTI DI RICONOSCIMENTO</w:t>
      </w:r>
    </w:p>
    <w:p>
      <w:pPr>
        <w:pStyle w:val="Normal"/>
        <w:spacing w:lineRule="auto" w:line="240" w:before="0" w:after="0"/>
        <w:rPr>
          <w:rFonts w:ascii="Arial" w:hAnsi="Arial" w:cs="Arial"/>
          <w:sz w:val="22"/>
          <w:lang w:eastAsia="it-IT"/>
        </w:rPr>
      </w:pPr>
      <w:r>
        <w:rPr>
          <w:rFonts w:cs="Arial" w:ascii="Arial" w:hAnsi="Arial"/>
          <w:sz w:val="22"/>
          <w:lang w:eastAsia="it-IT"/>
        </w:rPr>
        <w:t>Ogni Accompagnatore e ogni studente, riserve comprese, deve esibire un cartellino di riconoscimento contenente:</w:t>
      </w:r>
    </w:p>
    <w:p>
      <w:pPr>
        <w:pStyle w:val="Normal"/>
        <w:spacing w:lineRule="auto" w:line="240" w:before="0" w:after="0"/>
        <w:rPr>
          <w:rFonts w:ascii="Arial" w:hAnsi="Arial" w:cs="Arial"/>
          <w:sz w:val="22"/>
          <w:lang w:eastAsia="it-IT"/>
        </w:rPr>
      </w:pPr>
      <w:r>
        <w:rPr>
          <w:rFonts w:cs="Arial" w:ascii="Arial" w:hAnsi="Arial"/>
          <w:sz w:val="22"/>
          <w:lang w:eastAsia="it-IT"/>
        </w:rPr>
        <w:t xml:space="preserve">• </w:t>
      </w:r>
      <w:r>
        <w:rPr>
          <w:rFonts w:cs="Arial" w:ascii="Arial" w:hAnsi="Arial"/>
          <w:sz w:val="22"/>
          <w:lang w:eastAsia="it-IT"/>
        </w:rPr>
        <w:t>l'indicazione della denominazione dell'Istituzione Scolastica di appartenenza;</w:t>
      </w:r>
    </w:p>
    <w:p>
      <w:pPr>
        <w:pStyle w:val="Normal"/>
        <w:spacing w:lineRule="auto" w:line="240" w:before="0" w:after="0"/>
        <w:rPr>
          <w:rFonts w:ascii="Arial" w:hAnsi="Arial" w:cs="Arial"/>
          <w:sz w:val="22"/>
          <w:lang w:eastAsia="it-IT"/>
        </w:rPr>
      </w:pPr>
      <w:r>
        <w:rPr>
          <w:rFonts w:cs="Arial" w:ascii="Arial" w:hAnsi="Arial"/>
          <w:sz w:val="22"/>
          <w:lang w:eastAsia="it-IT"/>
        </w:rPr>
        <w:t xml:space="preserve">• </w:t>
      </w:r>
      <w:r>
        <w:rPr>
          <w:rFonts w:cs="Arial" w:ascii="Arial" w:hAnsi="Arial"/>
          <w:sz w:val="22"/>
          <w:lang w:eastAsia="it-IT"/>
        </w:rPr>
        <w:t>il proprio nome e cognome e l'eventuale titolo di Capitano;</w:t>
      </w:r>
    </w:p>
    <w:p>
      <w:pPr>
        <w:pStyle w:val="Normal"/>
        <w:spacing w:lineRule="auto" w:line="240" w:before="0" w:after="0"/>
        <w:rPr>
          <w:rFonts w:ascii="Arial" w:hAnsi="Arial" w:cs="Arial"/>
          <w:sz w:val="22"/>
          <w:lang w:eastAsia="it-IT"/>
        </w:rPr>
      </w:pPr>
      <w:r>
        <w:rPr>
          <w:rFonts w:cs="Arial" w:ascii="Arial" w:hAnsi="Arial"/>
          <w:sz w:val="22"/>
          <w:lang w:eastAsia="it-IT"/>
        </w:rPr>
        <w:t xml:space="preserve">• </w:t>
      </w:r>
      <w:r>
        <w:rPr>
          <w:rFonts w:cs="Arial" w:ascii="Arial" w:hAnsi="Arial"/>
          <w:sz w:val="22"/>
          <w:lang w:eastAsia="it-IT"/>
        </w:rPr>
        <w:t>il timbro dell'istituzione scolastica e la firma del Dirigente Scolastico o di un suo Vicario;</w:t>
      </w:r>
    </w:p>
    <w:p>
      <w:pPr>
        <w:pStyle w:val="Normal"/>
        <w:spacing w:lineRule="auto" w:line="240" w:before="0" w:after="0"/>
        <w:rPr>
          <w:rFonts w:ascii="Arial" w:hAnsi="Arial" w:cs="Arial"/>
          <w:sz w:val="22"/>
          <w:lang w:eastAsia="it-IT"/>
        </w:rPr>
      </w:pPr>
      <w:r>
        <w:rPr>
          <w:rFonts w:cs="Arial" w:ascii="Arial" w:hAnsi="Arial"/>
          <w:sz w:val="22"/>
          <w:lang w:eastAsia="it-IT"/>
        </w:rPr>
        <w:t xml:space="preserve">• </w:t>
      </w:r>
      <w:r>
        <w:rPr>
          <w:rFonts w:cs="Arial" w:ascii="Arial" w:hAnsi="Arial"/>
          <w:sz w:val="22"/>
          <w:lang w:eastAsia="it-IT"/>
        </w:rPr>
        <w:t>la foto tessera.</w:t>
      </w:r>
    </w:p>
    <w:p>
      <w:pPr>
        <w:pStyle w:val="Normal"/>
        <w:spacing w:lineRule="auto" w:line="240" w:before="0" w:after="0"/>
        <w:rPr>
          <w:rFonts w:ascii="Arial" w:hAnsi="Arial" w:cs="Arial"/>
          <w:sz w:val="22"/>
          <w:lang w:eastAsia="it-IT"/>
        </w:rPr>
      </w:pPr>
      <w:r>
        <w:rPr>
          <w:rFonts w:cs="Arial" w:ascii="Arial" w:hAnsi="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pPr>
        <w:pStyle w:val="Default"/>
        <w:spacing w:before="240" w:after="120"/>
        <w:jc w:val="both"/>
        <w:rPr>
          <w:rFonts w:ascii="Arial" w:hAnsi="Arial" w:cs="Arial"/>
          <w:b/>
          <w:b/>
          <w:bCs/>
          <w:sz w:val="22"/>
          <w:szCs w:val="22"/>
        </w:rPr>
      </w:pPr>
      <w:r>
        <w:rPr>
          <w:rFonts w:cs="Arial" w:ascii="Arial" w:hAnsi="Arial"/>
          <w:b/>
          <w:bCs/>
          <w:sz w:val="22"/>
          <w:szCs w:val="22"/>
        </w:rPr>
        <w:t>ISCRIZIONE</w:t>
      </w:r>
    </w:p>
    <w:p>
      <w:pPr>
        <w:pStyle w:val="Normal"/>
        <w:spacing w:lineRule="auto" w:line="240" w:before="0" w:after="0"/>
        <w:rPr/>
      </w:pPr>
      <w:r>
        <w:rPr>
          <w:rFonts w:cs="Arial" w:ascii="Arial" w:hAnsi="Arial"/>
          <w:sz w:val="22"/>
          <w:lang w:eastAsia="it-IT"/>
        </w:rPr>
        <w:t xml:space="preserve">Le Istituzioni Scolastiche che hanno provveduto ad iscriversi ai Campionati Studenteschi, con procedura on-line sul sito </w:t>
      </w:r>
      <w:hyperlink r:id="rId10">
        <w:r>
          <w:rPr>
            <w:rStyle w:val="CollegamentoInternet"/>
            <w:rFonts w:cs="Arial" w:ascii="Arial" w:hAnsi="Arial"/>
            <w:sz w:val="22"/>
            <w:lang w:eastAsia="it-IT"/>
          </w:rPr>
          <w:t>www.campionatistudenteschi.it</w:t>
        </w:r>
      </w:hyperlink>
      <w:r>
        <w:rPr>
          <w:rFonts w:cs="Arial" w:ascii="Arial" w:hAnsi="Arial"/>
          <w:sz w:val="22"/>
          <w:lang w:eastAsia="it-IT"/>
        </w:rPr>
        <w:t>, così come previsto nella nota del Ministero dell’Istruzione e del Merito prot. n. 3351 del 17 ottobre 2022, di cui fa parte integrante il Progetto Tecnico CS, provvederanno ad iscrivere alunni/studenti partecipanti alle singole discipline sportive oggetto della manifestazione tramite lo stesso portale.</w:t>
      </w:r>
    </w:p>
    <w:p>
      <w:pPr>
        <w:pStyle w:val="Normal"/>
        <w:spacing w:lineRule="auto" w:line="240" w:before="0" w:after="0"/>
        <w:rPr>
          <w:rFonts w:ascii="Arial" w:hAnsi="Arial" w:cs="Arial"/>
          <w:sz w:val="22"/>
          <w:lang w:eastAsia="it-IT"/>
        </w:rPr>
      </w:pPr>
      <w:r>
        <w:rPr>
          <w:rFonts w:cs="Arial" w:ascii="Arial" w:hAnsi="Arial"/>
          <w:sz w:val="22"/>
          <w:lang w:eastAsia="it-IT"/>
        </w:rPr>
        <w:t>Al termine di quest’ultima operazione potrà essere generato il Modello Eventi (ex mod. B) contenente l’elenco dei partecipanti che, stampato, dovrà essere sottoscritto dal Dirigente Scolastico.</w:t>
      </w:r>
    </w:p>
    <w:p>
      <w:pPr>
        <w:pStyle w:val="Normal"/>
        <w:spacing w:lineRule="auto" w:line="240" w:before="0" w:after="0"/>
        <w:rPr/>
      </w:pPr>
      <w:r>
        <w:rPr>
          <w:rFonts w:cs="Arial" w:ascii="Arial" w:hAnsi="Arial"/>
          <w:sz w:val="22"/>
          <w:lang w:eastAsia="it-IT"/>
        </w:rPr>
        <w:t>Contestualmente, entro la data di scadenza delle iscrizioni, il Dirigente Scolastico, o un suo referente, dovrà compilare un altro modulo collegandosi con la piattaforma FSI per i Campionati Studenteschi - Trofeo Scacchi Scuola (</w:t>
      </w:r>
      <w:hyperlink r:id="rId11">
        <w:r>
          <w:rPr>
            <w:rStyle w:val="CollegamentoInternet"/>
            <w:rFonts w:cs="Arial" w:ascii="Arial" w:hAnsi="Arial"/>
            <w:sz w:val="22"/>
            <w:lang w:eastAsia="it-IT"/>
          </w:rPr>
          <w:t>www.federscacchiscuola.it</w:t>
        </w:r>
      </w:hyperlink>
      <w:r>
        <w:rPr>
          <w:rFonts w:cs="Arial" w:ascii="Arial" w:hAnsi="Arial"/>
          <w:sz w:val="22"/>
          <w:lang w:eastAsia="it-IT"/>
        </w:rPr>
        <w:t>), selezionando la propria regione nell’area relativa alle fasi regionali e provinciali e accedendo quindi all’area riservata. 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 l’eventuale nominativo dell’Istruttore al seguito col numero identificativo presso la FSI, nonché l'indicazione del Capitano designato.</w:t>
      </w:r>
    </w:p>
    <w:p>
      <w:pPr>
        <w:pStyle w:val="Normal"/>
        <w:spacing w:lineRule="auto" w:line="240" w:before="0" w:after="0"/>
        <w:rPr>
          <w:rFonts w:ascii="Arial" w:hAnsi="Arial" w:cs="Arial"/>
          <w:sz w:val="22"/>
          <w:lang w:eastAsia="it-IT"/>
        </w:rPr>
      </w:pPr>
      <w:r>
        <w:rPr>
          <w:rFonts w:cs="Arial" w:ascii="Arial" w:hAnsi="Arial"/>
          <w:sz w:val="22"/>
          <w:lang w:eastAsia="it-IT"/>
        </w:rPr>
        <w:t>Il modulo dovrà contenere l’ordine corretto dei giocatori sulle scacchiere e dovrà essere stampato, sottoscritto dal Dirigente Scolastico e quindi, unitamente al Modello Eventi, ricaricato sulla medesima piattaforma FSI. Infine, entrambi i moduli dovranno essere consegnati in cartaceo all’organizzazione, al momento dell’accreditamento nel giorno della manifestazione.</w:t>
      </w:r>
    </w:p>
    <w:p>
      <w:pPr>
        <w:pStyle w:val="Normal"/>
        <w:spacing w:lineRule="auto" w:line="240" w:before="0" w:after="0"/>
        <w:rPr>
          <w:rFonts w:ascii="Arial" w:hAnsi="Arial" w:cs="Arial"/>
          <w:sz w:val="22"/>
          <w:lang w:eastAsia="it-IT"/>
        </w:rPr>
      </w:pPr>
      <w:r>
        <w:rPr>
          <w:rFonts w:cs="Arial" w:ascii="Arial" w:hAnsi="Arial"/>
          <w:sz w:val="22"/>
          <w:lang w:eastAsia="it-IT"/>
        </w:rPr>
        <w:t>In particolare il Modello Eventi dovrà risultare privo di correzioni o aggiunte manuali e servirà per la verifica della corrispondenza dei nominativi inseriti nelle due differenti piattaforme informatiche.</w:t>
      </w:r>
    </w:p>
    <w:p>
      <w:pPr>
        <w:pStyle w:val="Normal"/>
        <w:spacing w:lineRule="auto" w:line="240" w:before="0" w:after="0"/>
        <w:rPr/>
      </w:pPr>
      <w:r>
        <w:rPr>
          <w:rFonts w:cs="Arial" w:ascii="Arial" w:hAnsi="Arial"/>
          <w:sz w:val="22"/>
          <w:lang w:eastAsia="it-IT"/>
        </w:rPr>
        <w:t>Ulteriori istruzioni per effettuare correttamente la procedura d’iscrizione delle squadre sono presenti sulla piattaforma FSI (</w:t>
      </w:r>
      <w:hyperlink r:id="rId12">
        <w:r>
          <w:rPr>
            <w:rStyle w:val="CollegamentoInternet"/>
            <w:rFonts w:cs="Arial" w:ascii="Arial" w:hAnsi="Arial"/>
            <w:sz w:val="22"/>
            <w:lang w:eastAsia="it-IT"/>
          </w:rPr>
          <w:t>www.federscacchiscuola.it</w:t>
        </w:r>
      </w:hyperlink>
      <w:r>
        <w:rPr>
          <w:rFonts w:cs="Arial" w:ascii="Arial" w:hAnsi="Arial"/>
          <w:sz w:val="22"/>
          <w:lang w:eastAsia="it-IT"/>
        </w:rPr>
        <w:t>).</w:t>
      </w:r>
    </w:p>
    <w:p>
      <w:pPr>
        <w:pStyle w:val="Default"/>
        <w:spacing w:before="240" w:after="120"/>
        <w:jc w:val="both"/>
        <w:rPr>
          <w:rFonts w:ascii="Arial" w:hAnsi="Arial" w:cs="Arial"/>
          <w:b/>
          <w:b/>
          <w:bCs/>
          <w:sz w:val="22"/>
          <w:szCs w:val="22"/>
        </w:rPr>
      </w:pPr>
      <w:r>
        <w:rPr>
          <w:rFonts w:cs="Arial" w:ascii="Arial" w:hAnsi="Arial"/>
          <w:b/>
          <w:bCs/>
          <w:sz w:val="22"/>
          <w:szCs w:val="22"/>
        </w:rPr>
        <w:t>CERTIFICATO SANITARIO E ASSICURAZIONE</w:t>
      </w:r>
    </w:p>
    <w:p>
      <w:pPr>
        <w:pStyle w:val="Normal"/>
        <w:spacing w:lineRule="auto" w:line="240" w:before="0" w:after="0"/>
        <w:rPr>
          <w:rFonts w:ascii="Arial" w:hAnsi="Arial" w:cs="Arial"/>
          <w:sz w:val="22"/>
          <w:lang w:eastAsia="it-IT"/>
        </w:rPr>
      </w:pPr>
      <w:r>
        <w:rPr>
          <w:rFonts w:cs="Arial" w:ascii="Arial" w:hAnsi="Arial"/>
          <w:sz w:val="22"/>
          <w:lang w:eastAsia="it-IT"/>
        </w:rPr>
        <w:t>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 69/2013, convertito dalle Leggi n. 98 e n. 125 del 2013. Le certificazioni mediche dovranno essere depositate e custodite presso la segreteria della scuola di appartenenza.</w:t>
      </w:r>
    </w:p>
    <w:p>
      <w:pPr>
        <w:pStyle w:val="Normal"/>
        <w:spacing w:lineRule="auto" w:line="240" w:before="0" w:after="0"/>
        <w:rPr>
          <w:rFonts w:ascii="Arial" w:hAnsi="Arial" w:cs="Arial"/>
          <w:sz w:val="22"/>
          <w:lang w:eastAsia="it-IT"/>
        </w:rPr>
      </w:pPr>
      <w:r>
        <w:rPr>
          <w:rFonts w:cs="Arial" w:ascii="Arial" w:hAnsi="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La polizza è consultabile nel sito web di Sport e Salute S.p.A..</w:t>
      </w:r>
    </w:p>
    <w:p>
      <w:pPr>
        <w:pStyle w:val="Default"/>
        <w:spacing w:before="240" w:after="120"/>
        <w:jc w:val="both"/>
        <w:rPr/>
      </w:pPr>
      <w:r>
        <w:rPr>
          <w:rFonts w:cs="Arial" w:ascii="Arial" w:hAnsi="Arial"/>
          <w:b/>
          <w:bCs/>
          <w:sz w:val="22"/>
          <w:szCs w:val="22"/>
        </w:rPr>
        <w:t xml:space="preserve">PREMI </w:t>
      </w:r>
    </w:p>
    <w:p>
      <w:pPr>
        <w:pStyle w:val="Normal"/>
        <w:spacing w:lineRule="auto" w:line="240" w:before="0" w:after="0"/>
        <w:rPr/>
      </w:pPr>
      <w:r>
        <w:rPr>
          <w:rFonts w:cs="Arial" w:ascii="Arial" w:hAnsi="Arial"/>
          <w:i/>
          <w:sz w:val="22"/>
          <w:lang w:eastAsia="it-IT"/>
        </w:rPr>
        <w:t>Medaglie per tutti i partecipanti, medaglie Prime scacchiere e coppa alla prima squadra di ogni categoria</w:t>
      </w:r>
    </w:p>
    <w:p>
      <w:pPr>
        <w:pStyle w:val="Default"/>
        <w:spacing w:before="240" w:after="120"/>
        <w:jc w:val="both"/>
        <w:rPr>
          <w:rFonts w:ascii="Arial" w:hAnsi="Arial" w:cs="Arial"/>
          <w:sz w:val="22"/>
        </w:rPr>
      </w:pPr>
      <w:r>
        <w:rPr>
          <w:rFonts w:cs="Arial" w:ascii="Arial" w:hAnsi="Arial"/>
          <w:b/>
          <w:bCs/>
          <w:sz w:val="22"/>
          <w:szCs w:val="22"/>
        </w:rPr>
        <w:t xml:space="preserve">PROGRAMMA </w:t>
      </w:r>
    </w:p>
    <w:p>
      <w:pPr>
        <w:pStyle w:val="Default"/>
        <w:spacing w:before="240" w:after="120"/>
        <w:jc w:val="both"/>
        <w:rPr>
          <w:rFonts w:ascii="Arial" w:hAnsi="Arial" w:cs="Arial"/>
          <w:b w:val="false"/>
          <w:b w:val="false"/>
          <w:bCs w:val="false"/>
          <w:sz w:val="22"/>
        </w:rPr>
      </w:pPr>
      <w:r>
        <w:rPr>
          <w:rFonts w:cs="Arial" w:ascii="Arial" w:hAnsi="Arial"/>
          <w:b w:val="false"/>
          <w:bCs w:val="false"/>
          <w:sz w:val="22"/>
          <w:szCs w:val="22"/>
        </w:rPr>
        <w:t>08.30 – 09.20   Registrazione squadre ed accreditamento giocatori</w:t>
      </w:r>
    </w:p>
    <w:p>
      <w:pPr>
        <w:pStyle w:val="Default"/>
        <w:spacing w:before="240" w:after="120"/>
        <w:jc w:val="both"/>
        <w:rPr>
          <w:rFonts w:ascii="Arial" w:hAnsi="Arial" w:cs="Arial"/>
          <w:b w:val="false"/>
          <w:b w:val="false"/>
          <w:bCs w:val="false"/>
          <w:sz w:val="22"/>
        </w:rPr>
      </w:pPr>
      <w:r>
        <w:rPr>
          <w:rFonts w:cs="Arial" w:ascii="Arial" w:hAnsi="Arial"/>
          <w:b w:val="false"/>
          <w:bCs w:val="false"/>
          <w:sz w:val="22"/>
          <w:szCs w:val="22"/>
        </w:rPr>
        <w:t>09.30 – 13.00   1° Turno di gioco, 2° e 3° turno</w:t>
      </w:r>
    </w:p>
    <w:p>
      <w:pPr>
        <w:pStyle w:val="Default"/>
        <w:spacing w:before="240" w:after="120"/>
        <w:jc w:val="both"/>
        <w:rPr>
          <w:rFonts w:ascii="Arial" w:hAnsi="Arial" w:cs="Arial"/>
          <w:b w:val="false"/>
          <w:b w:val="false"/>
          <w:bCs w:val="false"/>
          <w:sz w:val="22"/>
        </w:rPr>
      </w:pPr>
      <w:r>
        <w:rPr>
          <w:rFonts w:cs="Arial" w:ascii="Arial" w:hAnsi="Arial"/>
          <w:b w:val="false"/>
          <w:bCs w:val="false"/>
          <w:sz w:val="22"/>
          <w:szCs w:val="22"/>
        </w:rPr>
        <w:t>13.00 – 14.00    Pausa pranzo</w:t>
      </w:r>
    </w:p>
    <w:p>
      <w:pPr>
        <w:pStyle w:val="Default"/>
        <w:spacing w:before="240" w:after="120"/>
        <w:jc w:val="both"/>
        <w:rPr>
          <w:rFonts w:ascii="Arial" w:hAnsi="Arial" w:cs="Arial"/>
          <w:b w:val="false"/>
          <w:b w:val="false"/>
          <w:bCs w:val="false"/>
          <w:sz w:val="22"/>
        </w:rPr>
      </w:pPr>
      <w:r>
        <w:rPr>
          <w:rFonts w:cs="Arial" w:ascii="Arial" w:hAnsi="Arial"/>
          <w:b w:val="false"/>
          <w:bCs w:val="false"/>
          <w:sz w:val="22"/>
          <w:szCs w:val="22"/>
        </w:rPr>
        <w:t>14.00 – 16.00    4° e 5° turno</w:t>
      </w:r>
    </w:p>
    <w:p>
      <w:pPr>
        <w:pStyle w:val="Default"/>
        <w:spacing w:before="240" w:after="120"/>
        <w:jc w:val="both"/>
        <w:rPr>
          <w:rFonts w:ascii="Arial" w:hAnsi="Arial" w:cs="Arial"/>
          <w:b w:val="false"/>
          <w:b w:val="false"/>
          <w:bCs w:val="false"/>
          <w:sz w:val="22"/>
        </w:rPr>
      </w:pPr>
      <w:r>
        <w:rPr>
          <w:rFonts w:cs="Arial" w:ascii="Arial" w:hAnsi="Arial"/>
          <w:b w:val="false"/>
          <w:bCs w:val="false"/>
          <w:sz w:val="22"/>
          <w:szCs w:val="22"/>
        </w:rPr>
        <w:t>16.10                  Premiazioni</w:t>
      </w:r>
    </w:p>
    <w:p>
      <w:pPr>
        <w:pStyle w:val="Default"/>
        <w:spacing w:before="240" w:after="120"/>
        <w:jc w:val="both"/>
        <w:rPr>
          <w:rFonts w:ascii="Arial" w:hAnsi="Arial" w:cs="Arial"/>
          <w:sz w:val="22"/>
        </w:rPr>
      </w:pPr>
      <w:r>
        <w:rPr>
          <w:rFonts w:cs="Arial" w:ascii="Arial" w:hAnsi="Arial"/>
          <w:b/>
          <w:bCs/>
          <w:sz w:val="22"/>
          <w:szCs w:val="22"/>
        </w:rPr>
        <w:t xml:space="preserve"> </w:t>
      </w:r>
    </w:p>
    <w:p>
      <w:pPr>
        <w:pStyle w:val="Default"/>
        <w:spacing w:before="240" w:after="120"/>
        <w:jc w:val="both"/>
        <w:rPr>
          <w:rFonts w:ascii="Arial" w:hAnsi="Arial" w:cs="Arial"/>
          <w:b/>
          <w:b/>
          <w:bCs/>
          <w:sz w:val="22"/>
          <w:szCs w:val="22"/>
        </w:rPr>
      </w:pPr>
      <w:r>
        <w:rPr>
          <w:rFonts w:cs="Arial" w:ascii="Arial" w:hAnsi="Arial"/>
          <w:b/>
          <w:bCs/>
          <w:sz w:val="22"/>
          <w:szCs w:val="22"/>
        </w:rPr>
        <w:t xml:space="preserve">INFORMAZIONI </w:t>
      </w:r>
    </w:p>
    <w:p>
      <w:pPr>
        <w:pStyle w:val="Normal"/>
        <w:spacing w:lineRule="auto" w:line="240" w:before="0" w:after="0"/>
        <w:rPr/>
      </w:pPr>
      <w:r>
        <w:rPr>
          <w:rFonts w:cs="Arial" w:ascii="Arial" w:hAnsi="Arial"/>
          <w:sz w:val="22"/>
        </w:rPr>
        <w:t xml:space="preserve">Referente </w:t>
      </w:r>
      <w:r>
        <w:rPr>
          <w:rFonts w:cs="Arial" w:ascii="Arial" w:hAnsi="Arial"/>
          <w:sz w:val="22"/>
          <w:lang w:eastAsia="it-IT"/>
        </w:rPr>
        <w:t>provinciale</w:t>
      </w:r>
      <w:r>
        <w:rPr>
          <w:rFonts w:cs="Arial" w:ascii="Arial" w:hAnsi="Arial"/>
          <w:sz w:val="22"/>
        </w:rPr>
        <w:t xml:space="preserve"> CS/TSS:  </w:t>
      </w:r>
      <w:r>
        <w:rPr>
          <w:rFonts w:cs="Arial" w:ascii="Arial" w:hAnsi="Arial"/>
          <w:b/>
          <w:bCs/>
          <w:sz w:val="22"/>
        </w:rPr>
        <w:t>Gabriella Curti 3450773669  gabriellacurti@gmail.com</w:t>
      </w:r>
    </w:p>
    <w:p>
      <w:pPr>
        <w:pStyle w:val="Normal"/>
        <w:spacing w:lineRule="auto" w:line="240" w:before="120" w:after="0"/>
        <w:rPr>
          <w:rFonts w:ascii="Arial" w:hAnsi="Arial" w:cs="Arial"/>
          <w:i/>
          <w:i/>
          <w:sz w:val="22"/>
          <w:highlight w:val="yellow"/>
        </w:rPr>
      </w:pPr>
      <w:r>
        <w:rPr>
          <w:rFonts w:cs="Arial" w:ascii="Arial" w:hAnsi="Arial"/>
          <w:i/>
          <w:sz w:val="22"/>
          <w:highlight w:val="yellow"/>
        </w:rPr>
      </w:r>
    </w:p>
    <w:p>
      <w:pPr>
        <w:pStyle w:val="Normal"/>
        <w:spacing w:lineRule="auto" w:line="240" w:before="120" w:after="0"/>
        <w:rPr/>
      </w:pPr>
      <w:r>
        <w:rPr>
          <w:rFonts w:cs="Arial" w:ascii="Arial" w:hAnsi="Arial"/>
          <w:sz w:val="22"/>
        </w:rPr>
        <w:t xml:space="preserve">Società </w:t>
      </w:r>
      <w:r>
        <w:rPr>
          <w:rFonts w:cs="Arial" w:ascii="Arial" w:hAnsi="Arial"/>
          <w:sz w:val="22"/>
          <w:lang w:eastAsia="it-IT"/>
        </w:rPr>
        <w:t>organizzatrice</w:t>
      </w:r>
      <w:r>
        <w:rPr>
          <w:rFonts w:cs="Arial" w:ascii="Arial" w:hAnsi="Arial"/>
          <w:sz w:val="22"/>
        </w:rPr>
        <w:t xml:space="preserve">: </w:t>
      </w:r>
    </w:p>
    <w:p>
      <w:pPr>
        <w:pStyle w:val="Normal"/>
        <w:spacing w:lineRule="auto" w:line="240" w:before="120" w:after="0"/>
        <w:rPr/>
      </w:pPr>
      <w:r>
        <w:rPr>
          <w:rFonts w:cs="Arial" w:ascii="Arial" w:hAnsi="Arial"/>
          <w:sz w:val="22"/>
        </w:rPr>
        <w:t>ASD Società Scacchistica Bergamo</w:t>
      </w:r>
    </w:p>
    <w:p>
      <w:pPr>
        <w:pStyle w:val="Normal"/>
        <w:spacing w:lineRule="auto" w:line="240" w:before="120" w:after="0"/>
        <w:rPr/>
      </w:pPr>
      <w:r>
        <w:rPr>
          <w:rFonts w:cs="Arial" w:ascii="Arial" w:hAnsi="Arial"/>
          <w:sz w:val="22"/>
        </w:rPr>
        <w:t>ASD Excelsior</w:t>
      </w:r>
    </w:p>
    <w:p>
      <w:pPr>
        <w:pStyle w:val="Normal"/>
        <w:spacing w:lineRule="auto" w:line="240" w:before="120" w:after="0"/>
        <w:rPr/>
      </w:pPr>
      <w:r>
        <w:rPr>
          <w:rFonts w:cs="Arial" w:ascii="Arial" w:hAnsi="Arial"/>
          <w:sz w:val="22"/>
        </w:rPr>
        <w:t>ASD Bassa Bergamasca</w:t>
      </w:r>
    </w:p>
    <w:p>
      <w:pPr>
        <w:pStyle w:val="Normal"/>
        <w:spacing w:lineRule="auto" w:line="240" w:before="120" w:after="0"/>
        <w:rPr/>
      </w:pPr>
      <w:r>
        <w:rPr>
          <w:rFonts w:cs="Arial" w:ascii="Arial" w:hAnsi="Arial"/>
          <w:sz w:val="22"/>
        </w:rPr>
        <w:t xml:space="preserve">FSI - Comitato </w:t>
      </w:r>
      <w:r>
        <w:rPr>
          <w:rFonts w:cs="Arial" w:ascii="Arial" w:hAnsi="Arial"/>
          <w:sz w:val="22"/>
          <w:lang w:eastAsia="it-IT"/>
        </w:rPr>
        <w:t xml:space="preserve">Regionale </w:t>
      </w:r>
      <w:r>
        <w:rPr>
          <w:rFonts w:cs="Arial" w:ascii="Arial" w:hAnsi="Arial"/>
          <w:i/>
          <w:sz w:val="22"/>
          <w:lang w:eastAsia="it-IT"/>
        </w:rPr>
        <w:t xml:space="preserve">Lombardo : </w:t>
      </w:r>
      <w:hyperlink r:id="rId13">
        <w:r>
          <w:rPr>
            <w:rStyle w:val="CollegamentoInternet"/>
            <w:rFonts w:cs="Arial" w:ascii="Arial" w:hAnsi="Arial"/>
            <w:i/>
            <w:sz w:val="22"/>
            <w:lang w:eastAsia="it-IT"/>
          </w:rPr>
          <w:t>www.lombardiascacchi.com</w:t>
        </w:r>
      </w:hyperlink>
      <w:r>
        <w:rPr>
          <w:rFonts w:cs="Arial" w:ascii="Arial" w:hAnsi="Arial"/>
          <w:i/>
          <w:sz w:val="22"/>
          <w:lang w:eastAsia="it-IT"/>
        </w:rPr>
        <w:t>, tsslombardiascacchi.it</w:t>
      </w:r>
    </w:p>
    <w:sectPr>
      <w:type w:val="nextPage"/>
      <w:pgSz w:w="11906" w:h="16838"/>
      <w:pgMar w:left="851" w:right="707" w:header="0" w:top="993" w:footer="0"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Calibri" w:cs="Times New Roman"/>
        <w:sz w:val="20"/>
        <w:lang w:val="it-IT" w:eastAsia="it-IT" w:bidi="ar-SA"/>
      </w:rPr>
    </w:rPrDefault>
    <w:pPrDefault>
      <w:pPr/>
    </w:pPrDefault>
  </w:docDefaults>
  <w:style w:type="paragraph" w:styleId="Normal">
    <w:name w:val="Normal"/>
    <w:qFormat/>
    <w:pPr>
      <w:widowControl/>
      <w:overflowPunct w:val="true"/>
      <w:bidi w:val="0"/>
      <w:spacing w:lineRule="auto" w:line="276" w:before="0" w:after="200"/>
      <w:jc w:val="both"/>
    </w:pPr>
    <w:rPr>
      <w:rFonts w:ascii="Verdana" w:hAnsi="Verdana" w:eastAsia="Calibri" w:cs="Times New Roman"/>
      <w:color w:val="auto"/>
      <w:kern w:val="0"/>
      <w:sz w:val="24"/>
      <w:szCs w:val="22"/>
      <w:lang w:val="it-IT" w:eastAsia="en-US" w:bidi="ar-SA"/>
    </w:rPr>
  </w:style>
  <w:style w:type="paragraph" w:styleId="Titolo2">
    <w:name w:val="Heading 2"/>
    <w:basedOn w:val="Normal"/>
    <w:qFormat/>
    <w:pPr>
      <w:keepNext w:val="true"/>
      <w:keepLines/>
      <w:spacing w:before="40" w:after="0"/>
      <w:outlineLvl w:val="1"/>
    </w:pPr>
    <w:rPr>
      <w:rFonts w:ascii="Cambria" w:hAnsi="Cambria" w:eastAsia="Calibri" w:cs="Times New Roman"/>
      <w:color w:val="365F91"/>
      <w:sz w:val="26"/>
      <w:szCs w:val="26"/>
    </w:rPr>
  </w:style>
  <w:style w:type="character" w:styleId="DefaultParagraphFont">
    <w:name w:val="Default Paragraph Font"/>
    <w:qFormat/>
    <w:rPr/>
  </w:style>
  <w:style w:type="character" w:styleId="CollegamentoInternet">
    <w:name w:val="Collegamento Internet"/>
    <w:rPr>
      <w:color w:val="0000FF"/>
      <w:u w:val="single"/>
    </w:rPr>
  </w:style>
  <w:style w:type="character" w:styleId="FollowedHyperlink">
    <w:name w:val="FollowedHyperlink"/>
    <w:basedOn w:val="DefaultParagraphFont"/>
    <w:qFormat/>
    <w:rPr>
      <w:color w:val="800080"/>
      <w:u w:val="single"/>
    </w:rPr>
  </w:style>
  <w:style w:type="character" w:styleId="TestofumettoCarattere">
    <w:name w:val="Testo fumetto Carattere"/>
    <w:basedOn w:val="DefaultParagraphFont"/>
    <w:qFormat/>
    <w:rPr>
      <w:rFonts w:ascii="Tahoma" w:hAnsi="Tahoma" w:cs="Tahoma"/>
      <w:sz w:val="16"/>
      <w:szCs w:val="16"/>
      <w:lang w:eastAsia="en-US"/>
    </w:rPr>
  </w:style>
  <w:style w:type="character" w:styleId="Annotationreference">
    <w:name w:val="annotation reference"/>
    <w:basedOn w:val="DefaultParagraphFont"/>
    <w:qFormat/>
    <w:rPr>
      <w:sz w:val="16"/>
      <w:szCs w:val="16"/>
    </w:rPr>
  </w:style>
  <w:style w:type="character" w:styleId="TestocommentoCarattere">
    <w:name w:val="Testo commento Carattere"/>
    <w:basedOn w:val="DefaultParagraphFont"/>
    <w:qFormat/>
    <w:rPr>
      <w:lang w:eastAsia="en-US"/>
    </w:rPr>
  </w:style>
  <w:style w:type="character" w:styleId="SoggettocommentoCarattere">
    <w:name w:val="Soggetto commento Carattere"/>
    <w:basedOn w:val="TestocommentoCarattere"/>
    <w:qFormat/>
    <w:rPr>
      <w:b/>
      <w:bCs/>
      <w:lang w:eastAsia="en-US"/>
    </w:rPr>
  </w:style>
  <w:style w:type="character" w:styleId="Titolo2Carattere">
    <w:name w:val="Titolo 2 Carattere"/>
    <w:basedOn w:val="DefaultParagraphFont"/>
    <w:qFormat/>
    <w:rPr>
      <w:rFonts w:ascii="Cambria" w:hAnsi="Cambria" w:eastAsia="Calibri" w:cs="Times New Roman"/>
      <w:color w:val="365F91"/>
      <w:sz w:val="26"/>
      <w:szCs w:val="26"/>
      <w:lang w:eastAsia="en-US"/>
    </w:rPr>
  </w:style>
  <w:style w:type="character" w:styleId="ListLabel1">
    <w:name w:val="ListLabel 1"/>
    <w:qFormat/>
    <w:rPr>
      <w:b w:val="false"/>
    </w:rPr>
  </w:style>
  <w:style w:type="character" w:styleId="ListLabel2">
    <w:name w:val="ListLabel 2"/>
    <w:qFormat/>
    <w:rPr>
      <w:rFonts w:cs="Times New Roman"/>
      <w:color w:val="auto"/>
    </w:rPr>
  </w:style>
  <w:style w:type="character" w:styleId="ListLabel3">
    <w:name w:val="ListLabel 3"/>
    <w:qFormat/>
    <w:rPr>
      <w:rFonts w:cs="Times New Roman"/>
      <w:color w:val="auto"/>
    </w:rPr>
  </w:style>
  <w:style w:type="character" w:styleId="ListLabel4">
    <w:name w:val="ListLabel 4"/>
    <w:qFormat/>
    <w:rPr>
      <w:rFonts w:ascii="Arial" w:hAnsi="Arial" w:cs="Arial"/>
      <w:sz w:val="22"/>
    </w:rPr>
  </w:style>
  <w:style w:type="character" w:styleId="ListLabel5">
    <w:name w:val="ListLabel 5"/>
    <w:qFormat/>
    <w:rPr>
      <w:rFonts w:ascii="Arial" w:hAnsi="Arial" w:cs="Arial"/>
      <w:sz w:val="22"/>
      <w:lang w:eastAsia="it-IT"/>
    </w:rPr>
  </w:style>
  <w:style w:type="character" w:styleId="ListLabel6">
    <w:name w:val="ListLabel 6"/>
    <w:qFormat/>
    <w:rPr>
      <w:rFonts w:ascii="Arial" w:hAnsi="Arial" w:cs="Arial"/>
      <w:sz w:val="22"/>
    </w:rPr>
  </w:style>
  <w:style w:type="character" w:styleId="ListLabel7">
    <w:name w:val="ListLabel 7"/>
    <w:qFormat/>
    <w:rPr>
      <w:rFonts w:ascii="Arial" w:hAnsi="Arial" w:cs="Arial"/>
      <w:sz w:val="22"/>
      <w:lang w:eastAsia="it-IT"/>
    </w:rPr>
  </w:style>
  <w:style w:type="character" w:styleId="ListLabel8">
    <w:name w:val="ListLabel 8"/>
    <w:qFormat/>
    <w:rPr>
      <w:rFonts w:ascii="Arial" w:hAnsi="Arial" w:cs="Arial"/>
      <w:i/>
      <w:sz w:val="22"/>
      <w:lang w:eastAsia="it-IT"/>
    </w:rPr>
  </w:style>
  <w:style w:type="character" w:styleId="ListLabel9">
    <w:name w:val="ListLabel 9"/>
    <w:qFormat/>
    <w:rPr>
      <w:rFonts w:ascii="Arial" w:hAnsi="Arial" w:cs="Arial"/>
      <w:sz w:val="22"/>
    </w:rPr>
  </w:style>
  <w:style w:type="character" w:styleId="ListLabel10">
    <w:name w:val="ListLabel 10"/>
    <w:qFormat/>
    <w:rPr>
      <w:rFonts w:ascii="Arial" w:hAnsi="Arial" w:cs="Arial"/>
      <w:sz w:val="22"/>
      <w:lang w:eastAsia="it-IT"/>
    </w:rPr>
  </w:style>
  <w:style w:type="character" w:styleId="ListLabel11">
    <w:name w:val="ListLabel 11"/>
    <w:qFormat/>
    <w:rPr>
      <w:rFonts w:ascii="Arial" w:hAnsi="Arial" w:cs="Arial"/>
      <w:i/>
      <w:sz w:val="22"/>
      <w:lang w:eastAsia="it-IT"/>
    </w:rPr>
  </w:style>
  <w:style w:type="character" w:styleId="ListLabel12">
    <w:name w:val="ListLabel 12"/>
    <w:qFormat/>
    <w:rPr>
      <w:rFonts w:ascii="Arial" w:hAnsi="Arial" w:cs="Arial"/>
      <w:sz w:val="22"/>
    </w:rPr>
  </w:style>
  <w:style w:type="character" w:styleId="ListLabel13">
    <w:name w:val="ListLabel 13"/>
    <w:qFormat/>
    <w:rPr>
      <w:rFonts w:ascii="Arial" w:hAnsi="Arial" w:cs="Arial"/>
      <w:sz w:val="22"/>
      <w:lang w:eastAsia="it-IT"/>
    </w:rPr>
  </w:style>
  <w:style w:type="character" w:styleId="ListLabel14">
    <w:name w:val="ListLabel 14"/>
    <w:qFormat/>
    <w:rPr>
      <w:rFonts w:ascii="Arial" w:hAnsi="Arial" w:cs="Arial"/>
      <w:i/>
      <w:sz w:val="22"/>
      <w:lang w:eastAsia="it-IT"/>
    </w:rPr>
  </w:style>
  <w:style w:type="character" w:styleId="ListLabel15">
    <w:name w:val="ListLabel 15"/>
    <w:qFormat/>
    <w:rPr>
      <w:rFonts w:ascii="Arial" w:hAnsi="Arial" w:cs="Arial"/>
      <w:sz w:val="22"/>
    </w:rPr>
  </w:style>
  <w:style w:type="character" w:styleId="ListLabel16">
    <w:name w:val="ListLabel 16"/>
    <w:qFormat/>
    <w:rPr>
      <w:rFonts w:ascii="Arial" w:hAnsi="Arial" w:cs="Arial"/>
      <w:sz w:val="22"/>
      <w:lang w:eastAsia="it-IT"/>
    </w:rPr>
  </w:style>
  <w:style w:type="character" w:styleId="ListLabel17">
    <w:name w:val="ListLabel 17"/>
    <w:qFormat/>
    <w:rPr>
      <w:rFonts w:ascii="Arial" w:hAnsi="Arial" w:cs="Arial"/>
      <w:i/>
      <w:sz w:val="22"/>
      <w:lang w:eastAsia="it-I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Default">
    <w:name w:val="Default"/>
    <w:qFormat/>
    <w:pPr>
      <w:widowControl/>
      <w:overflowPunct w:val="true"/>
      <w:bidi w:val="0"/>
      <w:jc w:val="left"/>
    </w:pPr>
    <w:rPr>
      <w:rFonts w:ascii="Calibri" w:hAnsi="Calibri" w:eastAsia="Calibri" w:cs="Calibri"/>
      <w:color w:val="000000"/>
      <w:kern w:val="0"/>
      <w:sz w:val="24"/>
      <w:szCs w:val="24"/>
      <w:lang w:val="it-IT" w:eastAsia="it-IT" w:bidi="ar-SA"/>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qFormat/>
    <w:pPr/>
    <w:rPr>
      <w:b/>
      <w:bCs/>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www.federscacchiscuola.it/" TargetMode="External"/><Relationship Id="rId9" Type="http://schemas.openxmlformats.org/officeDocument/2006/relationships/hyperlink" Target="http://www.campionatistudenteschi.it/" TargetMode="External"/><Relationship Id="rId10" Type="http://schemas.openxmlformats.org/officeDocument/2006/relationships/hyperlink" Target="http://www.campionatistudenteschi.it/" TargetMode="External"/><Relationship Id="rId11" Type="http://schemas.openxmlformats.org/officeDocument/2006/relationships/hyperlink" Target="http://www.federscacchiscuola.it/" TargetMode="External"/><Relationship Id="rId12" Type="http://schemas.openxmlformats.org/officeDocument/2006/relationships/hyperlink" Target="http://www.federscacchiscuola.it/" TargetMode="External"/><Relationship Id="rId13" Type="http://schemas.openxmlformats.org/officeDocument/2006/relationships/hyperlink" Target="http://www.lombardiascacchi.com/"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90</TotalTime>
  <Application>LibreOffice/6.0.7.3$Linux_X86_64 LibreOffice_project/00m0$Build-3</Application>
  <Pages>4</Pages>
  <Words>1367</Words>
  <Characters>8625</Characters>
  <CharactersWithSpaces>9971</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2023-01-21T08:45:00Z</dcterms:created>
  <dc:creator>Utente</dc:creator>
  <dc:description/>
  <dc:language>it-IT</dc:language>
  <cp:lastModifiedBy/>
  <cp:lastPrinted>2017-03-03T11:14:00Z</cp:lastPrinted>
  <dcterms:modified xsi:type="dcterms:W3CDTF">2023-02-05T10:47:22Z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